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6179" w14:textId="77777777" w:rsidR="00394944" w:rsidRPr="008D366C" w:rsidRDefault="008D366C" w:rsidP="008D366C">
      <w:pPr>
        <w:pStyle w:val="Title"/>
      </w:pPr>
      <w:r w:rsidRPr="008D366C">
        <w:t>Real Estate Development Marketing Act</w:t>
      </w:r>
    </w:p>
    <w:p w14:paraId="4AB8515F" w14:textId="77777777" w:rsidR="00E604A4" w:rsidRDefault="004969D3" w:rsidP="00A667D2">
      <w:pPr>
        <w:pStyle w:val="Subtitle"/>
      </w:pPr>
      <w:r>
        <w:t xml:space="preserve">Policy Statement </w:t>
      </w:r>
      <w:r w:rsidR="00713F78">
        <w:t>5</w:t>
      </w:r>
    </w:p>
    <w:p w14:paraId="1C169171" w14:textId="77777777" w:rsidR="004969D3" w:rsidRDefault="00713F78" w:rsidP="00A667D2">
      <w:pPr>
        <w:pStyle w:val="Heading1"/>
        <w:spacing w:before="360"/>
      </w:pPr>
      <w:r>
        <w:t>Early Marketing – Development Approval</w:t>
      </w:r>
    </w:p>
    <w:p w14:paraId="28D64D0E" w14:textId="1C8F6CE6" w:rsidR="004969D3" w:rsidRDefault="005A3FFB" w:rsidP="001675AD">
      <w:pPr>
        <w:pStyle w:val="BCFSASubtitlenoline"/>
        <w:spacing w:after="480"/>
      </w:pPr>
      <w:r>
        <w:t xml:space="preserve">Effective </w:t>
      </w:r>
      <w:r w:rsidR="00625955">
        <w:t>MARCH 8, 2023</w:t>
      </w:r>
    </w:p>
    <w:p w14:paraId="4056E3FC" w14:textId="77777777" w:rsidR="00713F78" w:rsidRPr="00371108" w:rsidRDefault="00713F78" w:rsidP="00934D5A">
      <w:pPr>
        <w:pStyle w:val="ListNumber"/>
        <w:rPr>
          <w:rFonts w:cstheme="minorHAnsi"/>
        </w:rPr>
      </w:pPr>
      <w:r w:rsidRPr="00371108">
        <w:rPr>
          <w:rFonts w:cstheme="minorHAnsi"/>
        </w:rPr>
        <w:t>Interpretation</w:t>
      </w:r>
    </w:p>
    <w:p w14:paraId="6075027A" w14:textId="77777777" w:rsidR="00713F78" w:rsidRPr="00371108" w:rsidRDefault="00713F78" w:rsidP="00934D5A">
      <w:pPr>
        <w:pStyle w:val="BodyText"/>
        <w:rPr>
          <w:rFonts w:cstheme="minorHAnsi"/>
        </w:rPr>
      </w:pPr>
      <w:r w:rsidRPr="00371108">
        <w:rPr>
          <w:rFonts w:cstheme="minorHAnsi"/>
        </w:rPr>
        <w:t>In this Policy Statement:</w:t>
      </w:r>
    </w:p>
    <w:p w14:paraId="03ECEA8D" w14:textId="77777777" w:rsidR="00713F78" w:rsidRPr="00371108" w:rsidRDefault="00713F78" w:rsidP="00934D5A">
      <w:pPr>
        <w:pStyle w:val="ListNumber2"/>
        <w:rPr>
          <w:rFonts w:cstheme="minorHAnsi"/>
        </w:rPr>
      </w:pPr>
      <w:r w:rsidRPr="00371108">
        <w:rPr>
          <w:rFonts w:cstheme="minorHAnsi"/>
        </w:rPr>
        <w:t xml:space="preserve">"Act" means the </w:t>
      </w:r>
      <w:r w:rsidR="008D366C" w:rsidRPr="00371108">
        <w:rPr>
          <w:rFonts w:cstheme="minorHAnsi"/>
          <w:i/>
          <w:iCs/>
        </w:rPr>
        <w:t xml:space="preserve">Real Estate Development Marketing </w:t>
      </w:r>
      <w:proofErr w:type="gramStart"/>
      <w:r w:rsidR="008D366C" w:rsidRPr="00371108">
        <w:rPr>
          <w:rFonts w:cstheme="minorHAnsi"/>
          <w:i/>
          <w:iCs/>
        </w:rPr>
        <w:t>Act</w:t>
      </w:r>
      <w:r w:rsidRPr="00371108">
        <w:rPr>
          <w:rFonts w:cstheme="minorHAnsi"/>
        </w:rPr>
        <w:t>;</w:t>
      </w:r>
      <w:proofErr w:type="gramEnd"/>
      <w:r w:rsidRPr="00371108">
        <w:rPr>
          <w:rFonts w:cstheme="minorHAnsi"/>
        </w:rPr>
        <w:t xml:space="preserve"> </w:t>
      </w:r>
    </w:p>
    <w:p w14:paraId="32EEC9BD" w14:textId="56170A9C" w:rsidR="005167A9" w:rsidRPr="00371108" w:rsidRDefault="005167A9" w:rsidP="005167A9">
      <w:pPr>
        <w:pStyle w:val="ListNumber2"/>
        <w:rPr>
          <w:rFonts w:cstheme="minorHAnsi"/>
        </w:rPr>
      </w:pPr>
      <w:r w:rsidRPr="00371108">
        <w:rPr>
          <w:rFonts w:cstheme="minorHAnsi"/>
        </w:rPr>
        <w:t>“</w:t>
      </w:r>
      <w:proofErr w:type="gramStart"/>
      <w:r w:rsidRPr="00371108">
        <w:rPr>
          <w:rFonts w:cstheme="minorHAnsi"/>
        </w:rPr>
        <w:t>building</w:t>
      </w:r>
      <w:proofErr w:type="gramEnd"/>
      <w:r w:rsidRPr="00371108">
        <w:rPr>
          <w:rFonts w:cstheme="minorHAnsi"/>
        </w:rPr>
        <w:t xml:space="preserve"> permit” includes one of multiple or staged building permits issued by an approving authority, where required, </w:t>
      </w:r>
      <w:r w:rsidR="00D5202A" w:rsidRPr="00371108">
        <w:rPr>
          <w:rFonts w:cstheme="minorHAnsi"/>
        </w:rPr>
        <w:t xml:space="preserve">that authorizes excavation or construction of the development property, </w:t>
      </w:r>
      <w:r w:rsidRPr="00371108">
        <w:rPr>
          <w:rFonts w:cstheme="minorHAnsi"/>
        </w:rPr>
        <w:t>provided that each of the further required building permits to complete construction of the development property is promptly applied for, and promptly paid for; and</w:t>
      </w:r>
    </w:p>
    <w:p w14:paraId="0DBE1913" w14:textId="4CFEE56D" w:rsidR="00713F78" w:rsidRPr="00371108" w:rsidRDefault="005167A9" w:rsidP="005167A9">
      <w:pPr>
        <w:pStyle w:val="ListNumber2"/>
        <w:rPr>
          <w:rFonts w:cstheme="minorHAnsi"/>
        </w:rPr>
      </w:pPr>
      <w:r w:rsidRPr="00371108">
        <w:rPr>
          <w:rFonts w:cstheme="minorHAnsi"/>
        </w:rPr>
        <w:t>unless the context otherwise requires, other words and expressions have the meanings given to them in the Act.</w:t>
      </w:r>
    </w:p>
    <w:p w14:paraId="50D4B755" w14:textId="6E95536B" w:rsidR="00713F78" w:rsidRPr="00371108" w:rsidRDefault="00F4635F" w:rsidP="00934D5A">
      <w:pPr>
        <w:pStyle w:val="ListNumber"/>
        <w:rPr>
          <w:rFonts w:cstheme="minorHAnsi"/>
        </w:rPr>
      </w:pPr>
      <w:r w:rsidRPr="004843FE">
        <w:rPr>
          <w:rStyle w:val="normaltextrun"/>
          <w:color w:val="000000"/>
          <w:shd w:val="clear" w:color="auto" w:fill="FFFFFF"/>
        </w:rPr>
        <w:t>Under</w:t>
      </w:r>
      <w:r w:rsidRPr="00371108">
        <w:rPr>
          <w:rStyle w:val="normaltextrun"/>
          <w:rFonts w:cstheme="minorHAnsi"/>
          <w:color w:val="000000"/>
          <w:shd w:val="clear" w:color="auto" w:fill="FFFFFF"/>
        </w:rPr>
        <w:t> sections 4 to 9 </w:t>
      </w:r>
      <w:r w:rsidRPr="004D79A9">
        <w:rPr>
          <w:rStyle w:val="normaltextrun"/>
          <w:color w:val="000000"/>
          <w:shd w:val="clear" w:color="auto" w:fill="FFFFFF"/>
        </w:rPr>
        <w:t>of the Act, a developer must not market</w:t>
      </w:r>
      <w:r w:rsidRPr="00371108">
        <w:rPr>
          <w:rStyle w:val="normaltextrun"/>
          <w:rFonts w:cstheme="minorHAnsi"/>
          <w:color w:val="000000"/>
          <w:shd w:val="clear" w:color="auto" w:fill="FFFFFF"/>
        </w:rPr>
        <w:t> </w:t>
      </w:r>
      <w:r w:rsidRPr="004D79A9">
        <w:rPr>
          <w:rStyle w:val="normaltextrun"/>
          <w:color w:val="000000"/>
          <w:shd w:val="clear" w:color="auto" w:fill="FFFFFF"/>
        </w:rPr>
        <w:t>a</w:t>
      </w:r>
      <w:r w:rsidRPr="00371108">
        <w:rPr>
          <w:rStyle w:val="normaltextrun"/>
          <w:rFonts w:cstheme="minorHAnsi"/>
          <w:color w:val="000000"/>
          <w:shd w:val="clear" w:color="auto" w:fill="FFFFFF"/>
        </w:rPr>
        <w:t> </w:t>
      </w:r>
      <w:r w:rsidRPr="004D79A9">
        <w:rPr>
          <w:rStyle w:val="normaltextrun"/>
          <w:color w:val="000000"/>
          <w:shd w:val="clear" w:color="auto" w:fill="FFFFFF"/>
        </w:rPr>
        <w:t>development unit unless in relation to the development units the developer has</w:t>
      </w:r>
      <w:r w:rsidRPr="00371108">
        <w:rPr>
          <w:rStyle w:val="normaltextrun"/>
          <w:rFonts w:cstheme="minorHAnsi"/>
          <w:color w:val="000000"/>
          <w:shd w:val="clear" w:color="auto" w:fill="FFFFFF"/>
        </w:rPr>
        <w:t> </w:t>
      </w:r>
      <w:r w:rsidRPr="004D79A9">
        <w:rPr>
          <w:rStyle w:val="normaltextrun"/>
          <w:color w:val="000000"/>
          <w:shd w:val="clear" w:color="auto" w:fill="FFFFFF"/>
        </w:rPr>
        <w:t>met certain preliminary requirements or</w:t>
      </w:r>
      <w:r w:rsidRPr="00371108">
        <w:rPr>
          <w:rStyle w:val="normaltextrun"/>
          <w:rFonts w:cstheme="minorHAnsi"/>
          <w:color w:val="000000"/>
          <w:shd w:val="clear" w:color="auto" w:fill="FFFFFF"/>
        </w:rPr>
        <w:t> obtained certain </w:t>
      </w:r>
      <w:r w:rsidRPr="004D79A9">
        <w:rPr>
          <w:rStyle w:val="normaltextrun"/>
          <w:color w:val="000000"/>
          <w:shd w:val="clear" w:color="auto" w:fill="FFFFFF"/>
        </w:rPr>
        <w:t>approvals.</w:t>
      </w:r>
      <w:r w:rsidRPr="00371108">
        <w:rPr>
          <w:rStyle w:val="normaltextrun"/>
          <w:rFonts w:cstheme="minorHAnsi"/>
          <w:color w:val="000000"/>
          <w:shd w:val="clear" w:color="auto" w:fill="FFFFFF"/>
        </w:rPr>
        <w:t> </w:t>
      </w:r>
      <w:r w:rsidRPr="004D79A9">
        <w:rPr>
          <w:rStyle w:val="normaltextrun"/>
          <w:color w:val="000000"/>
          <w:shd w:val="clear" w:color="auto" w:fill="FFFFFF"/>
        </w:rPr>
        <w:t xml:space="preserve"> The</w:t>
      </w:r>
      <w:r w:rsidRPr="00371108">
        <w:rPr>
          <w:rStyle w:val="normaltextrun"/>
          <w:rFonts w:cstheme="minorHAnsi"/>
          <w:color w:val="000000"/>
          <w:shd w:val="clear" w:color="auto" w:fill="FFFFFF"/>
        </w:rPr>
        <w:t> necessary type</w:t>
      </w:r>
      <w:r w:rsidRPr="004D79A9">
        <w:rPr>
          <w:rStyle w:val="normaltextrun"/>
          <w:color w:val="000000"/>
          <w:shd w:val="clear" w:color="auto" w:fill="FFFFFF"/>
        </w:rPr>
        <w:t xml:space="preserve"> of</w:t>
      </w:r>
      <w:r w:rsidRPr="00371108">
        <w:rPr>
          <w:rStyle w:val="normaltextrun"/>
          <w:rFonts w:cstheme="minorHAnsi"/>
          <w:color w:val="000000"/>
          <w:shd w:val="clear" w:color="auto" w:fill="FFFFFF"/>
        </w:rPr>
        <w:t> </w:t>
      </w:r>
      <w:r w:rsidRPr="004D79A9">
        <w:rPr>
          <w:rStyle w:val="normaltextrun"/>
          <w:color w:val="000000"/>
          <w:shd w:val="clear" w:color="auto" w:fill="FFFFFF"/>
        </w:rPr>
        <w:t>preliminary requirement or approval depends on the type of development unit being marketed.</w:t>
      </w:r>
      <w:r w:rsidRPr="00371108">
        <w:rPr>
          <w:rStyle w:val="normaltextrun"/>
          <w:rFonts w:cstheme="minorHAnsi"/>
          <w:color w:val="000000"/>
          <w:shd w:val="clear" w:color="auto" w:fill="FFFFFF"/>
        </w:rPr>
        <w:t>  </w:t>
      </w:r>
      <w:r w:rsidRPr="004D79A9">
        <w:rPr>
          <w:rStyle w:val="normaltextrun"/>
          <w:color w:val="000000"/>
          <w:shd w:val="clear" w:color="auto" w:fill="FFFFFF"/>
        </w:rPr>
        <w:t>Developers should review</w:t>
      </w:r>
      <w:r w:rsidRPr="00371108">
        <w:rPr>
          <w:rStyle w:val="normaltextrun"/>
          <w:rFonts w:cstheme="minorHAnsi"/>
          <w:color w:val="000000"/>
          <w:shd w:val="clear" w:color="auto" w:fill="FFFFFF"/>
        </w:rPr>
        <w:t> sections 4 to 9 of the Act</w:t>
      </w:r>
      <w:r w:rsidR="004D23E7">
        <w:rPr>
          <w:rStyle w:val="normaltextrun"/>
          <w:rFonts w:cstheme="minorHAnsi"/>
          <w:color w:val="000000"/>
          <w:shd w:val="clear" w:color="auto" w:fill="FFFFFF"/>
        </w:rPr>
        <w:t>, which are</w:t>
      </w:r>
      <w:r w:rsidR="008D2B6F">
        <w:rPr>
          <w:rStyle w:val="normaltextrun"/>
          <w:rFonts w:cstheme="minorHAnsi"/>
          <w:color w:val="000000"/>
          <w:shd w:val="clear" w:color="auto" w:fill="FFFFFF"/>
        </w:rPr>
        <w:t xml:space="preserve"> </w:t>
      </w:r>
      <w:r w:rsidR="00362D57">
        <w:rPr>
          <w:rStyle w:val="normaltextrun"/>
          <w:rFonts w:cstheme="minorHAnsi"/>
          <w:color w:val="000000"/>
          <w:shd w:val="clear" w:color="auto" w:fill="FFFFFF"/>
        </w:rPr>
        <w:t xml:space="preserve">referenced in </w:t>
      </w:r>
      <w:r w:rsidRPr="00371108">
        <w:rPr>
          <w:rStyle w:val="normaltextrun"/>
          <w:rFonts w:cstheme="minorHAnsi"/>
          <w:color w:val="000000"/>
          <w:shd w:val="clear" w:color="auto" w:fill="FFFFFF"/>
        </w:rPr>
        <w:t>section 7 of this Policy Statement</w:t>
      </w:r>
      <w:r w:rsidR="00362D57">
        <w:rPr>
          <w:rStyle w:val="normaltextrun"/>
          <w:rFonts w:cstheme="minorHAnsi"/>
          <w:color w:val="000000"/>
          <w:shd w:val="clear" w:color="auto" w:fill="FFFFFF"/>
        </w:rPr>
        <w:t>,</w:t>
      </w:r>
      <w:r w:rsidR="008D2B6F">
        <w:rPr>
          <w:rStyle w:val="normaltextrun"/>
          <w:rFonts w:cstheme="minorHAnsi"/>
          <w:color w:val="000000"/>
          <w:shd w:val="clear" w:color="auto" w:fill="FFFFFF"/>
        </w:rPr>
        <w:t xml:space="preserve"> </w:t>
      </w:r>
      <w:r w:rsidRPr="004D79A9">
        <w:rPr>
          <w:rStyle w:val="normaltextrun"/>
          <w:color w:val="000000"/>
          <w:shd w:val="clear" w:color="auto" w:fill="FFFFFF"/>
        </w:rPr>
        <w:t>to determine what form of preliminary requirement or approval applies to</w:t>
      </w:r>
      <w:r w:rsidRPr="00371108">
        <w:rPr>
          <w:rStyle w:val="normaltextrun"/>
          <w:rFonts w:cstheme="minorHAnsi"/>
          <w:color w:val="000000"/>
          <w:shd w:val="clear" w:color="auto" w:fill="FFFFFF"/>
        </w:rPr>
        <w:t> </w:t>
      </w:r>
      <w:r w:rsidRPr="004D79A9">
        <w:rPr>
          <w:rStyle w:val="normaltextrun"/>
          <w:color w:val="000000"/>
          <w:shd w:val="clear" w:color="auto" w:fill="FFFFFF"/>
        </w:rPr>
        <w:t>the type of development unit they</w:t>
      </w:r>
      <w:r w:rsidRPr="00371108">
        <w:rPr>
          <w:rStyle w:val="normaltextrun"/>
          <w:rFonts w:cstheme="minorHAnsi"/>
          <w:color w:val="000000"/>
          <w:shd w:val="clear" w:color="auto" w:fill="FFFFFF"/>
        </w:rPr>
        <w:t> </w:t>
      </w:r>
      <w:r w:rsidRPr="004D79A9">
        <w:rPr>
          <w:rStyle w:val="normaltextrun"/>
          <w:color w:val="000000"/>
          <w:shd w:val="clear" w:color="auto" w:fill="FFFFFF"/>
        </w:rPr>
        <w:t>intend</w:t>
      </w:r>
      <w:r w:rsidRPr="00371108">
        <w:rPr>
          <w:rStyle w:val="normaltextrun"/>
          <w:rFonts w:cstheme="minorHAnsi"/>
          <w:color w:val="000000"/>
          <w:shd w:val="clear" w:color="auto" w:fill="FFFFFF"/>
        </w:rPr>
        <w:t> </w:t>
      </w:r>
      <w:r w:rsidRPr="004D79A9">
        <w:rPr>
          <w:rStyle w:val="normaltextrun"/>
          <w:color w:val="000000"/>
          <w:shd w:val="clear" w:color="auto" w:fill="FFFFFF"/>
        </w:rPr>
        <w:t>to market.</w:t>
      </w:r>
    </w:p>
    <w:p w14:paraId="0B8A1205" w14:textId="3E1BCCD4" w:rsidR="00713F78" w:rsidRPr="00371108" w:rsidRDefault="006A0810" w:rsidP="00934D5A">
      <w:pPr>
        <w:pStyle w:val="ListNumber"/>
        <w:rPr>
          <w:rFonts w:cstheme="minorHAnsi"/>
        </w:rPr>
      </w:pPr>
      <w:r w:rsidRPr="004D79A9">
        <w:rPr>
          <w:rStyle w:val="normaltextrun"/>
          <w:color w:val="000000"/>
          <w:shd w:val="clear" w:color="auto" w:fill="FFFFFF"/>
          <w:lang w:val="en-GB"/>
        </w:rPr>
        <w:t>Under section</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10 of the Act,</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a</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developer may market a development unit before meeting the preliminary requirements or approvals set out in</w:t>
      </w:r>
      <w:r w:rsidRPr="00371108">
        <w:rPr>
          <w:rStyle w:val="normaltextrun"/>
          <w:rFonts w:cstheme="minorHAnsi"/>
          <w:color w:val="000000"/>
          <w:shd w:val="clear" w:color="auto" w:fill="FFFFFF"/>
          <w:lang w:val="en-GB"/>
        </w:rPr>
        <w:t> sections 4 to 9 </w:t>
      </w:r>
      <w:r w:rsidRPr="004D79A9">
        <w:rPr>
          <w:rStyle w:val="normaltextrun"/>
          <w:color w:val="000000"/>
          <w:shd w:val="clear" w:color="auto" w:fill="FFFFFF"/>
          <w:lang w:val="en-GB"/>
        </w:rPr>
        <w:t>of the Act, if the developer has obtained</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both:</w:t>
      </w:r>
      <w:r w:rsidRPr="00371108">
        <w:rPr>
          <w:rStyle w:val="eop"/>
          <w:rFonts w:cstheme="minorHAnsi"/>
          <w:color w:val="000000"/>
          <w:shd w:val="clear" w:color="auto" w:fill="FFFFFF"/>
        </w:rPr>
        <w:t> </w:t>
      </w:r>
    </w:p>
    <w:p w14:paraId="4AE210FF" w14:textId="4B8DB529" w:rsidR="005167A9" w:rsidRPr="00371108" w:rsidRDefault="005167A9" w:rsidP="005167A9">
      <w:pPr>
        <w:pStyle w:val="ListNumber2"/>
        <w:rPr>
          <w:rFonts w:cstheme="minorHAnsi"/>
        </w:rPr>
      </w:pPr>
      <w:r w:rsidRPr="00371108">
        <w:rPr>
          <w:rFonts w:cstheme="minorHAnsi"/>
        </w:rPr>
        <w:t>approval in principle to construct or otherwise create the development unit from the appropriate municipal or other government authority; and</w:t>
      </w:r>
    </w:p>
    <w:p w14:paraId="5DB2F5E7" w14:textId="3E8D8222" w:rsidR="00713F78" w:rsidRPr="00371108" w:rsidRDefault="005167A9" w:rsidP="005167A9">
      <w:pPr>
        <w:pStyle w:val="ListNumber2"/>
        <w:rPr>
          <w:rFonts w:cstheme="minorHAnsi"/>
        </w:rPr>
      </w:pPr>
      <w:r w:rsidRPr="00371108">
        <w:rPr>
          <w:rFonts w:cstheme="minorHAnsi"/>
        </w:rPr>
        <w:t>the superintendent’s permission to begin marketing.</w:t>
      </w:r>
    </w:p>
    <w:p w14:paraId="35909502" w14:textId="55C62A77" w:rsidR="00713F78" w:rsidRPr="00371108" w:rsidRDefault="005167A9" w:rsidP="00934D5A">
      <w:pPr>
        <w:pStyle w:val="ListNumber"/>
        <w:rPr>
          <w:rFonts w:cstheme="minorHAnsi"/>
        </w:rPr>
      </w:pPr>
      <w:r w:rsidRPr="00371108">
        <w:rPr>
          <w:rFonts w:cstheme="minorHAnsi"/>
        </w:rPr>
        <w:t>This Policy Statement sets out the circumstances, including the applicable terms and conditions, in which the superintendent’s permission to begin marketing is deemed to be granted.</w:t>
      </w:r>
    </w:p>
    <w:p w14:paraId="06B12B65" w14:textId="721DEA42" w:rsidR="00713F78" w:rsidRPr="00371108" w:rsidRDefault="00961F23" w:rsidP="00934D5A">
      <w:pPr>
        <w:pStyle w:val="ListNumber"/>
        <w:rPr>
          <w:rFonts w:cstheme="minorHAnsi"/>
        </w:rPr>
      </w:pPr>
      <w:r w:rsidRPr="004D79A9">
        <w:rPr>
          <w:rStyle w:val="normaltextrun"/>
          <w:color w:val="000000"/>
          <w:shd w:val="clear" w:color="auto" w:fill="FFFFFF"/>
          <w:lang w:val="en-GB"/>
        </w:rPr>
        <w:t>The</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superintendent considers</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that</w:t>
      </w:r>
      <w:r w:rsidRPr="00371108">
        <w:rPr>
          <w:rStyle w:val="normaltextrun"/>
          <w:rFonts w:cstheme="minorHAnsi"/>
          <w:color w:val="000000"/>
          <w:shd w:val="clear" w:color="auto" w:fill="FFFFFF"/>
          <w:lang w:val="en-GB"/>
        </w:rPr>
        <w:t xml:space="preserve"> a </w:t>
      </w:r>
      <w:r w:rsidRPr="004D79A9">
        <w:rPr>
          <w:rStyle w:val="normaltextrun"/>
          <w:color w:val="000000"/>
          <w:shd w:val="clear" w:color="auto" w:fill="FFFFFF"/>
          <w:lang w:val="en-GB"/>
        </w:rPr>
        <w:t>developer has obtained</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approval in principle to construct or otherwise create</w:t>
      </w:r>
      <w:r w:rsidR="003E7FB0" w:rsidRPr="004D79A9">
        <w:rPr>
          <w:rStyle w:val="normaltextrun"/>
          <w:color w:val="000000"/>
          <w:shd w:val="clear" w:color="auto" w:fill="FFFFFF"/>
          <w:lang w:val="en-GB"/>
        </w:rPr>
        <w:t xml:space="preserve"> the</w:t>
      </w:r>
      <w:r w:rsidRPr="004D79A9">
        <w:rPr>
          <w:rStyle w:val="normaltextrun"/>
          <w:color w:val="000000"/>
          <w:shd w:val="clear" w:color="auto" w:fill="FFFFFF"/>
          <w:lang w:val="en-GB"/>
        </w:rPr>
        <w:t xml:space="preserve"> development units</w:t>
      </w:r>
      <w:r w:rsidRPr="00371108">
        <w:rPr>
          <w:rStyle w:val="normaltextrun"/>
          <w:rFonts w:cstheme="minorHAnsi"/>
          <w:color w:val="000000"/>
          <w:shd w:val="clear" w:color="auto" w:fill="FFFFFF"/>
          <w:lang w:val="en-GB"/>
        </w:rPr>
        <w:t> from the appropriate municipal or other government authority when that </w:t>
      </w:r>
      <w:r w:rsidRPr="004D79A9">
        <w:rPr>
          <w:rStyle w:val="normaltextrun"/>
          <w:color w:val="000000"/>
          <w:shd w:val="clear" w:color="auto" w:fill="FFFFFF"/>
          <w:lang w:val="en-GB"/>
        </w:rPr>
        <w:t>appropriate municipal or other government authority</w:t>
      </w:r>
      <w:r w:rsidRPr="00371108">
        <w:rPr>
          <w:rStyle w:val="normaltextrun"/>
          <w:rFonts w:cstheme="minorHAnsi"/>
          <w:color w:val="000000"/>
          <w:shd w:val="clear" w:color="auto" w:fill="FFFFFF"/>
          <w:lang w:val="en-GB"/>
        </w:rPr>
        <w:t> </w:t>
      </w:r>
      <w:r w:rsidRPr="004D79A9">
        <w:rPr>
          <w:rStyle w:val="normaltextrun"/>
          <w:color w:val="000000"/>
          <w:shd w:val="clear" w:color="auto" w:fill="FFFFFF"/>
          <w:lang w:val="en-GB"/>
        </w:rPr>
        <w:t>ha</w:t>
      </w:r>
      <w:r w:rsidR="00CB6EFB">
        <w:rPr>
          <w:rStyle w:val="normaltextrun"/>
          <w:color w:val="000000"/>
          <w:shd w:val="clear" w:color="auto" w:fill="FFFFFF"/>
          <w:lang w:val="en-GB"/>
        </w:rPr>
        <w:t xml:space="preserve">s </w:t>
      </w:r>
      <w:r w:rsidRPr="00371108">
        <w:rPr>
          <w:rStyle w:val="normaltextrun"/>
          <w:rFonts w:cstheme="minorHAnsi"/>
          <w:color w:val="000000"/>
          <w:shd w:val="clear" w:color="auto" w:fill="FFFFFF"/>
          <w:lang w:val="en-GB"/>
        </w:rPr>
        <w:t xml:space="preserve">given third reading to a bylaw to zone or rezone the </w:t>
      </w:r>
      <w:r w:rsidR="00157A73">
        <w:rPr>
          <w:rStyle w:val="normaltextrun"/>
          <w:rFonts w:cstheme="minorHAnsi"/>
          <w:color w:val="000000"/>
          <w:shd w:val="clear" w:color="auto" w:fill="FFFFFF"/>
          <w:lang w:val="en-GB"/>
        </w:rPr>
        <w:t xml:space="preserve">specific </w:t>
      </w:r>
      <w:r w:rsidR="00B77895">
        <w:rPr>
          <w:rStyle w:val="normaltextrun"/>
          <w:rFonts w:cstheme="minorHAnsi"/>
          <w:color w:val="000000"/>
          <w:shd w:val="clear" w:color="auto" w:fill="FFFFFF"/>
          <w:lang w:val="en-GB"/>
        </w:rPr>
        <w:t>site on which the developer’s proposed development will be located</w:t>
      </w:r>
      <w:r w:rsidRPr="00371108">
        <w:rPr>
          <w:rStyle w:val="normaltextrun"/>
          <w:rFonts w:cstheme="minorHAnsi"/>
          <w:color w:val="000000"/>
          <w:shd w:val="clear" w:color="auto" w:fill="FFFFFF"/>
          <w:lang w:val="en-GB"/>
        </w:rPr>
        <w:t xml:space="preserve"> to a </w:t>
      </w:r>
      <w:r w:rsidRPr="004D79A9">
        <w:rPr>
          <w:rStyle w:val="normaltextrun"/>
          <w:color w:val="000000"/>
          <w:shd w:val="clear" w:color="auto" w:fill="FFFFFF"/>
          <w:lang w:val="en-GB"/>
        </w:rPr>
        <w:t>zoning</w:t>
      </w:r>
      <w:r w:rsidRPr="00371108">
        <w:rPr>
          <w:rStyle w:val="normaltextrun"/>
          <w:rFonts w:cstheme="minorHAnsi"/>
          <w:color w:val="000000"/>
          <w:shd w:val="clear" w:color="auto" w:fill="FFFFFF"/>
          <w:lang w:val="en-GB"/>
        </w:rPr>
        <w:t> that permits the developer’s proposed </w:t>
      </w:r>
      <w:r w:rsidRPr="004D79A9">
        <w:rPr>
          <w:rStyle w:val="normaltextrun"/>
          <w:color w:val="000000"/>
          <w:shd w:val="clear" w:color="auto" w:fill="FFFFFF"/>
          <w:lang w:val="en-GB"/>
        </w:rPr>
        <w:t>development</w:t>
      </w:r>
      <w:r w:rsidR="0071746A">
        <w:rPr>
          <w:rStyle w:val="normaltextrun"/>
          <w:color w:val="000000"/>
          <w:shd w:val="clear" w:color="auto" w:fill="FFFFFF"/>
          <w:lang w:val="en-GB"/>
        </w:rPr>
        <w:t xml:space="preserve">, or, in areas that do not require third reading, </w:t>
      </w:r>
      <w:r w:rsidR="00A76EE0">
        <w:rPr>
          <w:rStyle w:val="normaltextrun"/>
          <w:color w:val="000000"/>
          <w:shd w:val="clear" w:color="auto" w:fill="FFFFFF"/>
          <w:lang w:val="en-GB"/>
        </w:rPr>
        <w:t>has taken</w:t>
      </w:r>
      <w:r w:rsidR="0071746A">
        <w:rPr>
          <w:rStyle w:val="normaltextrun"/>
          <w:color w:val="000000"/>
          <w:shd w:val="clear" w:color="auto" w:fill="FFFFFF"/>
          <w:lang w:val="en-GB"/>
        </w:rPr>
        <w:t xml:space="preserve"> an equivalent step to proceed with such zoning</w:t>
      </w:r>
      <w:r w:rsidR="00B66980">
        <w:rPr>
          <w:rStyle w:val="normaltextrun"/>
          <w:color w:val="000000"/>
          <w:shd w:val="clear" w:color="auto" w:fill="FFFFFF"/>
          <w:lang w:val="en-GB"/>
        </w:rPr>
        <w:t>.</w:t>
      </w:r>
    </w:p>
    <w:p w14:paraId="55DA87F9" w14:textId="0112C039" w:rsidR="00713F78" w:rsidRPr="004D79A9" w:rsidRDefault="00261E0A" w:rsidP="004D79A9">
      <w:pPr>
        <w:pStyle w:val="ListNumber"/>
        <w:shd w:val="clear" w:color="auto" w:fill="FFFFFF"/>
        <w:spacing w:before="0" w:after="0"/>
        <w:textAlignment w:val="baseline"/>
        <w:rPr>
          <w:color w:val="000000"/>
        </w:rPr>
      </w:pPr>
      <w:r w:rsidRPr="004D79A9">
        <w:rPr>
          <w:rStyle w:val="normaltextrun"/>
          <w:color w:val="000000"/>
          <w:lang w:val="en-GB"/>
        </w:rPr>
        <w:t>If</w:t>
      </w:r>
      <w:r w:rsidRPr="00371108">
        <w:rPr>
          <w:rStyle w:val="normaltextrun"/>
          <w:rFonts w:cstheme="minorHAnsi"/>
          <w:color w:val="000000"/>
          <w:lang w:val="en-GB"/>
        </w:rPr>
        <w:t> a </w:t>
      </w:r>
      <w:r w:rsidRPr="004D79A9">
        <w:rPr>
          <w:rStyle w:val="normaltextrun"/>
          <w:color w:val="000000"/>
          <w:lang w:val="en-GB"/>
        </w:rPr>
        <w:t>developer has obtained approval in principle, as described in paragraph</w:t>
      </w:r>
      <w:r w:rsidRPr="00371108">
        <w:rPr>
          <w:rStyle w:val="normaltextrun"/>
          <w:rFonts w:cstheme="minorHAnsi"/>
          <w:color w:val="000000"/>
          <w:lang w:val="en-GB"/>
        </w:rPr>
        <w:t> </w:t>
      </w:r>
      <w:r w:rsidRPr="004D79A9">
        <w:rPr>
          <w:rStyle w:val="normaltextrun"/>
          <w:color w:val="000000"/>
          <w:lang w:val="en-GB"/>
        </w:rPr>
        <w:t>5</w:t>
      </w:r>
      <w:r w:rsidRPr="00371108">
        <w:rPr>
          <w:rStyle w:val="normaltextrun"/>
          <w:rFonts w:cstheme="minorHAnsi"/>
          <w:color w:val="000000"/>
          <w:lang w:val="en-GB"/>
        </w:rPr>
        <w:t> </w:t>
      </w:r>
      <w:r w:rsidRPr="004D79A9">
        <w:rPr>
          <w:rStyle w:val="normaltextrun"/>
          <w:color w:val="000000"/>
          <w:lang w:val="en-GB"/>
        </w:rPr>
        <w:t>of this Policy Statement, to construct or otherwise create the development units from the appropriate municipal or other government authority, the</w:t>
      </w:r>
      <w:r w:rsidRPr="00371108">
        <w:rPr>
          <w:rStyle w:val="normaltextrun"/>
          <w:rFonts w:cstheme="minorHAnsi"/>
          <w:color w:val="000000"/>
          <w:lang w:val="en-GB"/>
        </w:rPr>
        <w:t> </w:t>
      </w:r>
      <w:r w:rsidRPr="004D79A9">
        <w:rPr>
          <w:rStyle w:val="normaltextrun"/>
          <w:color w:val="000000"/>
          <w:lang w:val="en-GB"/>
        </w:rPr>
        <w:t>superintendent</w:t>
      </w:r>
      <w:r w:rsidRPr="00371108">
        <w:rPr>
          <w:rStyle w:val="normaltextrun"/>
          <w:rFonts w:cstheme="minorHAnsi"/>
          <w:color w:val="000000"/>
          <w:lang w:val="en-GB"/>
        </w:rPr>
        <w:t> </w:t>
      </w:r>
      <w:r w:rsidRPr="004D79A9">
        <w:rPr>
          <w:rStyle w:val="normaltextrun"/>
          <w:color w:val="000000"/>
          <w:lang w:val="en-GB"/>
        </w:rPr>
        <w:t>will permit</w:t>
      </w:r>
      <w:r w:rsidRPr="00371108">
        <w:rPr>
          <w:rStyle w:val="normaltextrun"/>
          <w:rFonts w:cstheme="minorHAnsi"/>
          <w:color w:val="000000"/>
          <w:lang w:val="en-GB"/>
        </w:rPr>
        <w:t> the </w:t>
      </w:r>
      <w:r w:rsidRPr="004D79A9">
        <w:rPr>
          <w:rStyle w:val="normaltextrun"/>
          <w:color w:val="000000"/>
          <w:lang w:val="en-GB"/>
        </w:rPr>
        <w:t>developer to begin marketing on</w:t>
      </w:r>
      <w:r w:rsidRPr="00371108">
        <w:rPr>
          <w:rStyle w:val="normaltextrun"/>
          <w:rFonts w:cstheme="minorHAnsi"/>
          <w:color w:val="000000"/>
          <w:lang w:val="en-GB"/>
        </w:rPr>
        <w:t> </w:t>
      </w:r>
      <w:r w:rsidRPr="004D79A9">
        <w:rPr>
          <w:rStyle w:val="normaltextrun"/>
          <w:color w:val="000000"/>
          <w:lang w:val="en-GB"/>
        </w:rPr>
        <w:t>complying with</w:t>
      </w:r>
      <w:r w:rsidRPr="00371108">
        <w:rPr>
          <w:rStyle w:val="normaltextrun"/>
          <w:rFonts w:cstheme="minorHAnsi"/>
          <w:color w:val="000000"/>
          <w:lang w:val="en-GB"/>
        </w:rPr>
        <w:t> </w:t>
      </w:r>
      <w:r w:rsidRPr="004D79A9">
        <w:rPr>
          <w:rStyle w:val="normaltextrun"/>
          <w:color w:val="000000"/>
          <w:lang w:val="en-GB"/>
        </w:rPr>
        <w:t>the following terms and conditions:</w:t>
      </w:r>
    </w:p>
    <w:p w14:paraId="3B9F43D5" w14:textId="77777777" w:rsidR="008D4E76" w:rsidRPr="004448D1" w:rsidRDefault="008D4E76" w:rsidP="008D4E76">
      <w:pPr>
        <w:pStyle w:val="ListNumber"/>
        <w:numPr>
          <w:ilvl w:val="0"/>
          <w:numId w:val="0"/>
        </w:numPr>
        <w:shd w:val="clear" w:color="auto" w:fill="FFFFFF"/>
        <w:spacing w:before="0" w:after="0"/>
        <w:ind w:left="720"/>
        <w:textAlignment w:val="baseline"/>
        <w:rPr>
          <w:rFonts w:cstheme="minorHAnsi"/>
          <w:color w:val="000000"/>
        </w:rPr>
      </w:pPr>
    </w:p>
    <w:p w14:paraId="67FA1D31" w14:textId="061F5DC8" w:rsidR="005167A9" w:rsidRPr="00371108" w:rsidRDefault="00A42482" w:rsidP="005167A9">
      <w:pPr>
        <w:pStyle w:val="ListNumber2"/>
        <w:rPr>
          <w:rFonts w:cstheme="minorHAnsi"/>
        </w:rPr>
      </w:pPr>
      <w:r w:rsidRPr="00371108">
        <w:rPr>
          <w:rFonts w:cstheme="minorHAnsi"/>
        </w:rPr>
        <w:t>t</w:t>
      </w:r>
      <w:r w:rsidR="005167A9" w:rsidRPr="00371108">
        <w:rPr>
          <w:rFonts w:cstheme="minorHAnsi"/>
        </w:rPr>
        <w:t xml:space="preserve">he estimated date, as disclosed in the disclosure statement, for the issuance of a building permit, is 12 months or less from the date the developer filed the disclosure statement with the </w:t>
      </w:r>
      <w:proofErr w:type="gramStart"/>
      <w:r w:rsidR="005167A9" w:rsidRPr="00371108">
        <w:rPr>
          <w:rFonts w:cstheme="minorHAnsi"/>
        </w:rPr>
        <w:t>superintendent;</w:t>
      </w:r>
      <w:proofErr w:type="gramEnd"/>
      <w:r w:rsidR="005167A9" w:rsidRPr="00371108">
        <w:rPr>
          <w:rFonts w:cstheme="minorHAnsi"/>
        </w:rPr>
        <w:t xml:space="preserve"> </w:t>
      </w:r>
    </w:p>
    <w:p w14:paraId="013EC057" w14:textId="50323138" w:rsidR="00713F78" w:rsidRPr="00371108" w:rsidRDefault="00A42482" w:rsidP="005167A9">
      <w:pPr>
        <w:pStyle w:val="ListNumber2"/>
        <w:rPr>
          <w:rFonts w:cstheme="minorHAnsi"/>
        </w:rPr>
      </w:pPr>
      <w:r w:rsidRPr="00371108">
        <w:rPr>
          <w:rFonts w:cstheme="minorHAnsi"/>
        </w:rPr>
        <w:t>t</w:t>
      </w:r>
      <w:r w:rsidR="005167A9" w:rsidRPr="00371108">
        <w:rPr>
          <w:rFonts w:cstheme="minorHAnsi"/>
        </w:rPr>
        <w:t>he developer markets the proposed development units under the disclosure statement for a period of no more than 12 months from the date the disclosure statement was filed with the superintendent, unless an amendment to the disclosure statement that sets out particulars of the issued building permit is filed with the superintendent during that period. The developer must also either:</w:t>
      </w:r>
    </w:p>
    <w:p w14:paraId="5F656D6B" w14:textId="2FD0E203" w:rsidR="00713F78" w:rsidRPr="00371108" w:rsidRDefault="005167A9" w:rsidP="00DC7482">
      <w:pPr>
        <w:pStyle w:val="ListNumber3"/>
        <w:rPr>
          <w:rFonts w:cstheme="minorHAnsi"/>
        </w:rPr>
      </w:pPr>
      <w:r w:rsidRPr="00371108">
        <w:rPr>
          <w:rFonts w:cstheme="minorHAnsi"/>
        </w:rPr>
        <w:t>prior to the expiry of the 12-month period, file with the superintendent an amendment to the disclosure statement that sets out particulars of the issued building permit; or</w:t>
      </w:r>
    </w:p>
    <w:p w14:paraId="51239B55" w14:textId="79A6EE1E" w:rsidR="00713F78" w:rsidRPr="00371108" w:rsidRDefault="005167A9" w:rsidP="00DC7482">
      <w:pPr>
        <w:pStyle w:val="ListNumber3"/>
        <w:rPr>
          <w:rFonts w:cstheme="minorHAnsi"/>
        </w:rPr>
      </w:pPr>
      <w:r w:rsidRPr="00371108">
        <w:rPr>
          <w:rFonts w:cstheme="minorHAnsi"/>
        </w:rPr>
        <w:t>upon the expiry of the 12-month period, immediately cease marketing the development and confirm in a written undertaking to the superintendent that all marketing of the development has ceased and will not resume until after the necessary amendment has been filed, failing which a cease marketing or other order may be issued by the superintendent to the developer without further notice.</w:t>
      </w:r>
    </w:p>
    <w:p w14:paraId="5E0ADBAD" w14:textId="1409FF25" w:rsidR="00713F78" w:rsidRPr="00371108" w:rsidRDefault="005167A9" w:rsidP="00934D5A">
      <w:pPr>
        <w:pStyle w:val="BodyText"/>
        <w:rPr>
          <w:rFonts w:cstheme="minorHAnsi"/>
        </w:rPr>
      </w:pPr>
      <w:r w:rsidRPr="00371108">
        <w:rPr>
          <w:rFonts w:cstheme="minorHAnsi"/>
        </w:rPr>
        <w:t xml:space="preserve">Additionally, the developer must provide written notice without delay to the superintendent if, during the 12-month period, all units in the development property being marketed under this Policy Statement are sold or the developer has decided not to proceed with the </w:t>
      </w:r>
      <w:proofErr w:type="gramStart"/>
      <w:r w:rsidRPr="00371108">
        <w:rPr>
          <w:rFonts w:cstheme="minorHAnsi"/>
        </w:rPr>
        <w:t>development;</w:t>
      </w:r>
      <w:proofErr w:type="gramEnd"/>
    </w:p>
    <w:p w14:paraId="619A66D8" w14:textId="5E8DE6DC" w:rsidR="00713F78" w:rsidRPr="00371108" w:rsidRDefault="00A42482" w:rsidP="00934D5A">
      <w:pPr>
        <w:pStyle w:val="ListNumber2"/>
        <w:rPr>
          <w:rFonts w:cstheme="minorHAnsi"/>
        </w:rPr>
      </w:pPr>
      <w:r w:rsidRPr="00371108">
        <w:rPr>
          <w:rFonts w:cstheme="minorHAnsi"/>
        </w:rPr>
        <w:t>a</w:t>
      </w:r>
      <w:r w:rsidR="005167A9" w:rsidRPr="00371108">
        <w:rPr>
          <w:rFonts w:cstheme="minorHAnsi"/>
        </w:rPr>
        <w:t>ny purchase agreement used by the developer, with respect to any development unit offered for sale or lease before the purchaser’s receipt of an amendment to the disclosure statement that sets out particulars of the issued building permit, contains the following provisions:</w:t>
      </w:r>
    </w:p>
    <w:p w14:paraId="7B6854FE" w14:textId="04DE7D83" w:rsidR="00713F78" w:rsidRPr="00371108" w:rsidRDefault="00A42482" w:rsidP="00DC7482">
      <w:pPr>
        <w:pStyle w:val="ListNumber3"/>
        <w:rPr>
          <w:rFonts w:cstheme="minorHAnsi"/>
        </w:rPr>
      </w:pPr>
      <w:r w:rsidRPr="00371108">
        <w:rPr>
          <w:rFonts w:cstheme="minorHAnsi"/>
        </w:rPr>
        <w:t>t</w:t>
      </w:r>
      <w:r w:rsidR="00EE1978" w:rsidRPr="00371108">
        <w:rPr>
          <w:rFonts w:cstheme="minorHAnsi"/>
        </w:rPr>
        <w:t xml:space="preserve">he purchaser may cancel the purchase agreement for a period of seven days after receipt of an amendment to the disclosure statement that sets out particulars of the issued building permit if the layout or size of the applicable development unit, the construction of a major common facility, including a recreation centre or clubhouse, or the general layout of the development, is materially changed by the issuance of the building </w:t>
      </w:r>
      <w:proofErr w:type="gramStart"/>
      <w:r w:rsidR="00EE1978" w:rsidRPr="00371108">
        <w:rPr>
          <w:rFonts w:cstheme="minorHAnsi"/>
        </w:rPr>
        <w:t>permit;</w:t>
      </w:r>
      <w:proofErr w:type="gramEnd"/>
    </w:p>
    <w:p w14:paraId="6C917D05" w14:textId="5866D2E8" w:rsidR="00713F78" w:rsidRPr="00371108" w:rsidRDefault="00A42482" w:rsidP="00DC7482">
      <w:pPr>
        <w:pStyle w:val="ListNumber3"/>
        <w:rPr>
          <w:rFonts w:cstheme="minorHAnsi"/>
        </w:rPr>
      </w:pPr>
      <w:r w:rsidRPr="00371108">
        <w:rPr>
          <w:rFonts w:cstheme="minorHAnsi"/>
        </w:rPr>
        <w:t>i</w:t>
      </w:r>
      <w:r w:rsidR="00EE1978" w:rsidRPr="00371108">
        <w:rPr>
          <w:rFonts w:cstheme="minorHAnsi"/>
        </w:rPr>
        <w:t>f an amendment to the disclosure statement that sets out particulars of an issued building permit is not received by the purchaser within 12 months after the initial disclosure statement was filed, the purchaser may at his or her option cancel the purchase agreement at any time after the end of that 12-month period until the required amendment is received by the purchaser, at which time the purchaser may cancel the purchase agreement for a period of seven days after receipt of that amendment only if the layout or size of the applicable development unit, the construction of a major common facility, including a recreation centre or clubhouse, or the general layout of the development, is materially changed by the issuance of the building permit;</w:t>
      </w:r>
    </w:p>
    <w:p w14:paraId="2476269F" w14:textId="0DAD9264" w:rsidR="00713F78" w:rsidRPr="00371108" w:rsidRDefault="00A42482" w:rsidP="00DC7482">
      <w:pPr>
        <w:pStyle w:val="ListNumber3"/>
        <w:rPr>
          <w:rFonts w:cstheme="minorHAnsi"/>
        </w:rPr>
      </w:pPr>
      <w:r w:rsidRPr="00371108">
        <w:rPr>
          <w:rFonts w:cstheme="minorHAnsi"/>
        </w:rPr>
        <w:t>t</w:t>
      </w:r>
      <w:r w:rsidR="00EE1978" w:rsidRPr="00371108">
        <w:rPr>
          <w:rFonts w:cstheme="minorHAnsi"/>
        </w:rPr>
        <w:t>he amount of the deposit to be paid by a purchaser who has not yet received an amendment to the disclosure statement that sets out particulars of an issued building permit is no more than 10% of the purchase price; and</w:t>
      </w:r>
    </w:p>
    <w:p w14:paraId="63B47AB3" w14:textId="56D5CFAF" w:rsidR="00713F78" w:rsidRPr="00371108" w:rsidRDefault="00A42482" w:rsidP="00DC7482">
      <w:pPr>
        <w:pStyle w:val="ListNumber3"/>
        <w:rPr>
          <w:rFonts w:cstheme="minorHAnsi"/>
        </w:rPr>
      </w:pPr>
      <w:r w:rsidRPr="00371108">
        <w:rPr>
          <w:rFonts w:cstheme="minorHAnsi"/>
        </w:rPr>
        <w:t>a</w:t>
      </w:r>
      <w:r w:rsidR="00EE1978" w:rsidRPr="00371108">
        <w:rPr>
          <w:rFonts w:cstheme="minorHAnsi"/>
        </w:rPr>
        <w:t xml:space="preserve">ll deposits paid by a purchaser, including interest earned if applicable, will be returned promptly to the purchaser upon notice of cancellation from the </w:t>
      </w:r>
      <w:proofErr w:type="gramStart"/>
      <w:r w:rsidR="00EE1978" w:rsidRPr="00371108">
        <w:rPr>
          <w:rFonts w:cstheme="minorHAnsi"/>
        </w:rPr>
        <w:t>purchaser;</w:t>
      </w:r>
      <w:proofErr w:type="gramEnd"/>
    </w:p>
    <w:p w14:paraId="1DD4162C" w14:textId="638D3FBE" w:rsidR="00713F78" w:rsidRPr="00371108" w:rsidRDefault="00A42482" w:rsidP="00934D5A">
      <w:pPr>
        <w:pStyle w:val="ListNumber2"/>
        <w:rPr>
          <w:rFonts w:cstheme="minorHAnsi"/>
        </w:rPr>
      </w:pPr>
      <w:r w:rsidRPr="00371108">
        <w:rPr>
          <w:rFonts w:cstheme="minorHAnsi"/>
        </w:rPr>
        <w:t>t</w:t>
      </w:r>
      <w:r w:rsidR="00713F78" w:rsidRPr="00371108">
        <w:rPr>
          <w:rFonts w:cstheme="minorHAnsi"/>
        </w:rPr>
        <w:t>he disclosure statement includes, as an exhibit, a copy of the developer’s purchase agreement used under this Policy Statement; and</w:t>
      </w:r>
    </w:p>
    <w:p w14:paraId="6C635419" w14:textId="3CD34DB1" w:rsidR="00713F78" w:rsidRPr="00371108" w:rsidRDefault="00A42482" w:rsidP="00934D5A">
      <w:pPr>
        <w:pStyle w:val="ListNumber2"/>
        <w:rPr>
          <w:rFonts w:cstheme="minorHAnsi"/>
        </w:rPr>
      </w:pPr>
      <w:r w:rsidRPr="00371108">
        <w:rPr>
          <w:rFonts w:cstheme="minorHAnsi"/>
        </w:rPr>
        <w:t>p</w:t>
      </w:r>
      <w:r w:rsidR="00713F78" w:rsidRPr="00371108">
        <w:rPr>
          <w:rFonts w:cstheme="minorHAnsi"/>
        </w:rPr>
        <w:t xml:space="preserve">rovisions (a), (b) and (c) above, must be set out </w:t>
      </w:r>
      <w:r w:rsidR="00713F78" w:rsidRPr="00371108">
        <w:rPr>
          <w:rStyle w:val="Strong"/>
          <w:rFonts w:cstheme="minorHAnsi"/>
        </w:rPr>
        <w:t>in bold print</w:t>
      </w:r>
      <w:r w:rsidR="00713F78" w:rsidRPr="00371108">
        <w:rPr>
          <w:rFonts w:cstheme="minorHAnsi"/>
        </w:rPr>
        <w:t xml:space="preserve"> in the disclosure statement immediately after the statutory right of rescission. </w:t>
      </w:r>
    </w:p>
    <w:p w14:paraId="399E332D" w14:textId="115847D6" w:rsidR="00713F78" w:rsidRPr="00371108" w:rsidRDefault="00B84D67" w:rsidP="00934D5A">
      <w:pPr>
        <w:pStyle w:val="ListNumber"/>
        <w:rPr>
          <w:rFonts w:cstheme="minorHAnsi"/>
        </w:rPr>
      </w:pPr>
      <w:r w:rsidRPr="004D79A9">
        <w:rPr>
          <w:rStyle w:val="normaltextrun"/>
          <w:color w:val="000000"/>
          <w:shd w:val="clear" w:color="auto" w:fill="FFFFFF"/>
        </w:rPr>
        <w:t>If a developer proposes to market a development unit that requires</w:t>
      </w:r>
      <w:r w:rsidRPr="00371108">
        <w:rPr>
          <w:rStyle w:val="normaltextrun"/>
          <w:rFonts w:cstheme="minorHAnsi"/>
          <w:color w:val="000000"/>
          <w:shd w:val="clear" w:color="auto" w:fill="FFFFFF"/>
        </w:rPr>
        <w:t> </w:t>
      </w:r>
      <w:r w:rsidRPr="004D79A9">
        <w:rPr>
          <w:rStyle w:val="normaltextrun"/>
          <w:color w:val="000000"/>
          <w:shd w:val="clear" w:color="auto" w:fill="FFFFFF"/>
        </w:rPr>
        <w:t>the developer to obtain a</w:t>
      </w:r>
      <w:r w:rsidRPr="00371108">
        <w:rPr>
          <w:rStyle w:val="normaltextrun"/>
          <w:rFonts w:cstheme="minorHAnsi"/>
          <w:color w:val="000000"/>
          <w:shd w:val="clear" w:color="auto" w:fill="FFFFFF"/>
        </w:rPr>
        <w:t> </w:t>
      </w:r>
      <w:r w:rsidRPr="004D79A9">
        <w:rPr>
          <w:rStyle w:val="normaltextrun"/>
          <w:color w:val="000000"/>
          <w:shd w:val="clear" w:color="auto" w:fill="FFFFFF"/>
        </w:rPr>
        <w:t>form of approval other than a</w:t>
      </w:r>
      <w:r w:rsidRPr="00371108">
        <w:rPr>
          <w:rStyle w:val="normaltextrun"/>
          <w:rFonts w:cstheme="minorHAnsi"/>
          <w:color w:val="000000"/>
          <w:shd w:val="clear" w:color="auto" w:fill="FFFFFF"/>
        </w:rPr>
        <w:t> </w:t>
      </w:r>
      <w:r w:rsidRPr="004D79A9">
        <w:rPr>
          <w:rStyle w:val="normaltextrun"/>
          <w:color w:val="000000"/>
          <w:shd w:val="clear" w:color="auto" w:fill="FFFFFF"/>
        </w:rPr>
        <w:t>building permit</w:t>
      </w:r>
      <w:r w:rsidRPr="00371108">
        <w:rPr>
          <w:rStyle w:val="normaltextrun"/>
          <w:rFonts w:cstheme="minorHAnsi"/>
          <w:color w:val="000000"/>
          <w:shd w:val="clear" w:color="auto" w:fill="FFFFFF"/>
        </w:rPr>
        <w:t> </w:t>
      </w:r>
      <w:r w:rsidRPr="004D79A9">
        <w:rPr>
          <w:rStyle w:val="normaltextrun"/>
          <w:color w:val="000000"/>
          <w:shd w:val="clear" w:color="auto" w:fill="FFFFFF"/>
        </w:rPr>
        <w:t>from the</w:t>
      </w:r>
      <w:r w:rsidRPr="00371108">
        <w:rPr>
          <w:rStyle w:val="normaltextrun"/>
          <w:rFonts w:cstheme="minorHAnsi"/>
          <w:color w:val="000000"/>
          <w:shd w:val="clear" w:color="auto" w:fill="FFFFFF"/>
        </w:rPr>
        <w:t> </w:t>
      </w:r>
      <w:r w:rsidRPr="004D79A9">
        <w:rPr>
          <w:rStyle w:val="normaltextrun"/>
          <w:color w:val="000000"/>
          <w:shd w:val="clear" w:color="auto" w:fill="FFFFFF"/>
          <w:lang w:val="en-GB"/>
        </w:rPr>
        <w:t>appropriate municipal or other government authority</w:t>
      </w:r>
      <w:r w:rsidRPr="004D79A9">
        <w:rPr>
          <w:rStyle w:val="normaltextrun"/>
          <w:color w:val="000000"/>
          <w:shd w:val="clear" w:color="auto" w:fill="FFFFFF"/>
        </w:rPr>
        <w:t>, the developer may market the development unit if the developer has obtained approval in principle, as described in paragraph</w:t>
      </w:r>
      <w:r w:rsidRPr="00371108">
        <w:rPr>
          <w:rStyle w:val="normaltextrun"/>
          <w:rFonts w:cstheme="minorHAnsi"/>
          <w:color w:val="000000"/>
          <w:shd w:val="clear" w:color="auto" w:fill="FFFFFF"/>
        </w:rPr>
        <w:t> </w:t>
      </w:r>
      <w:r w:rsidRPr="004D79A9">
        <w:rPr>
          <w:rStyle w:val="normaltextrun"/>
          <w:color w:val="000000"/>
          <w:shd w:val="clear" w:color="auto" w:fill="FFFFFF"/>
        </w:rPr>
        <w:t>5</w:t>
      </w:r>
      <w:r w:rsidRPr="00371108">
        <w:rPr>
          <w:rStyle w:val="normaltextrun"/>
          <w:rFonts w:cstheme="minorHAnsi"/>
          <w:color w:val="000000"/>
          <w:shd w:val="clear" w:color="auto" w:fill="FFFFFF"/>
        </w:rPr>
        <w:t> </w:t>
      </w:r>
      <w:r w:rsidRPr="004D79A9">
        <w:rPr>
          <w:rStyle w:val="normaltextrun"/>
          <w:color w:val="000000"/>
          <w:shd w:val="clear" w:color="auto" w:fill="FFFFFF"/>
        </w:rPr>
        <w:t>of this Policy Statement, and</w:t>
      </w:r>
      <w:r w:rsidRPr="00371108">
        <w:rPr>
          <w:rStyle w:val="normaltextrun"/>
          <w:rFonts w:cstheme="minorHAnsi"/>
          <w:color w:val="000000"/>
          <w:shd w:val="clear" w:color="auto" w:fill="FFFFFF"/>
        </w:rPr>
        <w:t> </w:t>
      </w:r>
      <w:r w:rsidRPr="004D79A9">
        <w:rPr>
          <w:rStyle w:val="normaltextrun"/>
          <w:color w:val="000000"/>
          <w:shd w:val="clear" w:color="auto" w:fill="FFFFFF"/>
        </w:rPr>
        <w:t>the developer complies with the terms and conditions set out in paragraph</w:t>
      </w:r>
      <w:r w:rsidRPr="00371108">
        <w:rPr>
          <w:rStyle w:val="normaltextrun"/>
          <w:rFonts w:cstheme="minorHAnsi"/>
          <w:color w:val="000000"/>
          <w:shd w:val="clear" w:color="auto" w:fill="FFFFFF"/>
        </w:rPr>
        <w:t> </w:t>
      </w:r>
      <w:r w:rsidRPr="004D79A9">
        <w:rPr>
          <w:rStyle w:val="normaltextrun"/>
          <w:color w:val="000000"/>
          <w:shd w:val="clear" w:color="auto" w:fill="FFFFFF"/>
        </w:rPr>
        <w:t>6 of this Policy Statement.</w:t>
      </w:r>
      <w:r w:rsidRPr="00371108">
        <w:rPr>
          <w:rStyle w:val="normaltextrun"/>
          <w:rFonts w:cstheme="minorHAnsi"/>
          <w:color w:val="000000"/>
          <w:shd w:val="clear" w:color="auto" w:fill="FFFFFF"/>
        </w:rPr>
        <w:t> </w:t>
      </w:r>
      <w:r w:rsidRPr="004D79A9">
        <w:rPr>
          <w:rStyle w:val="normaltextrun"/>
          <w:color w:val="000000"/>
          <w:shd w:val="clear" w:color="auto" w:fill="FFFFFF"/>
        </w:rPr>
        <w:t xml:space="preserve"> In this case, the developer must modify the terms and conditions</w:t>
      </w:r>
      <w:r w:rsidRPr="00371108">
        <w:rPr>
          <w:rStyle w:val="normaltextrun"/>
          <w:rFonts w:cstheme="minorHAnsi"/>
          <w:color w:val="000000"/>
          <w:shd w:val="clear" w:color="auto" w:fill="FFFFFF"/>
        </w:rPr>
        <w:t> </w:t>
      </w:r>
      <w:r w:rsidRPr="004D79A9">
        <w:rPr>
          <w:rStyle w:val="normaltextrun"/>
          <w:color w:val="000000"/>
          <w:shd w:val="clear" w:color="auto" w:fill="FFFFFF"/>
        </w:rPr>
        <w:t>set out in paragraph 6</w:t>
      </w:r>
      <w:r w:rsidRPr="00371108">
        <w:rPr>
          <w:rStyle w:val="normaltextrun"/>
          <w:rFonts w:cstheme="minorHAnsi"/>
          <w:color w:val="000000"/>
          <w:shd w:val="clear" w:color="auto" w:fill="FFFFFF"/>
        </w:rPr>
        <w:t> </w:t>
      </w:r>
      <w:r w:rsidRPr="004D79A9">
        <w:rPr>
          <w:rStyle w:val="normaltextrun"/>
          <w:color w:val="000000"/>
          <w:shd w:val="clear" w:color="auto" w:fill="FFFFFF"/>
        </w:rPr>
        <w:t>by deleting the references to</w:t>
      </w:r>
      <w:r w:rsidRPr="00371108">
        <w:rPr>
          <w:rStyle w:val="normaltextrun"/>
          <w:rFonts w:cstheme="minorHAnsi"/>
          <w:color w:val="000000"/>
          <w:shd w:val="clear" w:color="auto" w:fill="FFFFFF"/>
        </w:rPr>
        <w:t> </w:t>
      </w:r>
      <w:r w:rsidRPr="004D79A9">
        <w:rPr>
          <w:rStyle w:val="normaltextrun"/>
          <w:color w:val="000000"/>
          <w:shd w:val="clear" w:color="auto" w:fill="FFFFFF"/>
        </w:rPr>
        <w:t>building permit and substituting preliminary layout approval</w:t>
      </w:r>
      <w:r w:rsidRPr="00371108">
        <w:rPr>
          <w:rStyle w:val="normaltextrun"/>
          <w:rFonts w:cstheme="minorHAnsi"/>
          <w:color w:val="000000"/>
          <w:shd w:val="clear" w:color="auto" w:fill="FFFFFF"/>
        </w:rPr>
        <w:t> (</w:t>
      </w:r>
      <w:r w:rsidRPr="004D79A9">
        <w:rPr>
          <w:rStyle w:val="normaltextrun"/>
          <w:color w:val="000000"/>
          <w:shd w:val="clear" w:color="auto" w:fill="FFFFFF"/>
        </w:rPr>
        <w:t xml:space="preserve">or </w:t>
      </w:r>
      <w:r w:rsidRPr="00371108">
        <w:rPr>
          <w:rStyle w:val="normaltextrun"/>
          <w:rFonts w:cstheme="minorHAnsi"/>
          <w:color w:val="000000"/>
          <w:shd w:val="clear" w:color="auto" w:fill="FFFFFF"/>
        </w:rPr>
        <w:t>preliminary layout review or its equivalent), or other</w:t>
      </w:r>
      <w:r w:rsidRPr="004D79A9">
        <w:rPr>
          <w:rStyle w:val="normaltextrun"/>
          <w:color w:val="000000"/>
          <w:shd w:val="clear" w:color="auto" w:fill="FFFFFF"/>
        </w:rPr>
        <w:t xml:space="preserve"> applicable</w:t>
      </w:r>
      <w:r w:rsidRPr="00371108">
        <w:rPr>
          <w:rStyle w:val="normaltextrun"/>
          <w:rFonts w:cstheme="minorHAnsi"/>
          <w:color w:val="000000"/>
          <w:shd w:val="clear" w:color="auto" w:fill="FFFFFF"/>
        </w:rPr>
        <w:t> approval set out in sections 4</w:t>
      </w:r>
      <w:r w:rsidRPr="004D79A9">
        <w:rPr>
          <w:rStyle w:val="normaltextrun"/>
          <w:color w:val="000000"/>
          <w:shd w:val="clear" w:color="auto" w:fill="FFFFFF"/>
        </w:rPr>
        <w:t xml:space="preserve"> to </w:t>
      </w:r>
      <w:r w:rsidRPr="00371108">
        <w:rPr>
          <w:rStyle w:val="normaltextrun"/>
          <w:rFonts w:cstheme="minorHAnsi"/>
          <w:color w:val="000000"/>
          <w:shd w:val="clear" w:color="auto" w:fill="FFFFFF"/>
        </w:rPr>
        <w:t xml:space="preserve">9 of </w:t>
      </w:r>
      <w:r w:rsidRPr="004D79A9">
        <w:rPr>
          <w:rStyle w:val="normaltextrun"/>
          <w:color w:val="000000"/>
          <w:shd w:val="clear" w:color="auto" w:fill="FFFFFF"/>
        </w:rPr>
        <w:t>the Act.</w:t>
      </w:r>
      <w:r w:rsidRPr="00371108">
        <w:rPr>
          <w:rStyle w:val="normaltextrun"/>
          <w:rFonts w:cstheme="minorHAnsi"/>
          <w:color w:val="000000"/>
          <w:shd w:val="clear" w:color="auto" w:fill="FFFFFF"/>
        </w:rPr>
        <w:t> For example, the forms of approval that apply to some types of development units under the Act are:</w:t>
      </w:r>
      <w:r w:rsidRPr="00371108">
        <w:rPr>
          <w:rStyle w:val="eop"/>
          <w:rFonts w:cstheme="minorHAnsi"/>
          <w:color w:val="000000"/>
          <w:shd w:val="clear" w:color="auto" w:fill="FFFFFF"/>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B84D67" w:rsidRPr="00B84D67" w14:paraId="36E9386F" w14:textId="77777777" w:rsidTr="00B84D67">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051E1500" w14:textId="77777777" w:rsidR="00B84D67" w:rsidRPr="00B84D67" w:rsidRDefault="00B84D67" w:rsidP="00B84D67">
            <w:pPr>
              <w:jc w:val="center"/>
              <w:textAlignment w:val="baseline"/>
              <w:rPr>
                <w:rFonts w:eastAsia="Times New Roman" w:cstheme="minorHAnsi"/>
                <w:color w:val="000000"/>
                <w:lang w:val="en-US"/>
              </w:rPr>
            </w:pPr>
            <w:r w:rsidRPr="00B84D67">
              <w:rPr>
                <w:rFonts w:eastAsia="Times New Roman" w:cstheme="minorHAnsi"/>
                <w:b/>
                <w:bCs/>
                <w:color w:val="000000"/>
              </w:rPr>
              <w:t>Type of Development Unit</w:t>
            </w:r>
            <w:r w:rsidRPr="00B84D67">
              <w:rPr>
                <w:rFonts w:eastAsia="Times New Roman" w:cstheme="minorHAnsi"/>
                <w:color w:val="000000"/>
                <w:lang w:val="en-US"/>
              </w:rPr>
              <w:t>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6E1857B2" w14:textId="77777777" w:rsidR="00B84D67" w:rsidRPr="00B84D67" w:rsidRDefault="00B84D67" w:rsidP="00B84D67">
            <w:pPr>
              <w:jc w:val="center"/>
              <w:textAlignment w:val="baseline"/>
              <w:rPr>
                <w:rFonts w:eastAsia="Times New Roman" w:cstheme="minorHAnsi"/>
                <w:color w:val="000000"/>
                <w:lang w:val="en-US"/>
              </w:rPr>
            </w:pPr>
            <w:r w:rsidRPr="00B84D67">
              <w:rPr>
                <w:rFonts w:eastAsia="Times New Roman" w:cstheme="minorHAnsi"/>
                <w:b/>
                <w:bCs/>
                <w:color w:val="000000"/>
              </w:rPr>
              <w:t>Preliminary Requirement or Approval</w:t>
            </w:r>
            <w:r w:rsidRPr="00B84D67">
              <w:rPr>
                <w:rFonts w:eastAsia="Times New Roman" w:cstheme="minorHAnsi"/>
                <w:color w:val="000000"/>
                <w:lang w:val="en-US"/>
              </w:rPr>
              <w:t> </w:t>
            </w:r>
          </w:p>
        </w:tc>
      </w:tr>
      <w:tr w:rsidR="00B84D67" w:rsidRPr="00B84D67" w14:paraId="13B8F30F" w14:textId="77777777" w:rsidTr="00B84D67">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2C26BC0A" w14:textId="77777777" w:rsidR="00B84D67" w:rsidRPr="00B84D67" w:rsidRDefault="00B84D67" w:rsidP="00B84D67">
            <w:pPr>
              <w:textAlignment w:val="baseline"/>
              <w:rPr>
                <w:rFonts w:eastAsia="Times New Roman" w:cstheme="minorHAnsi"/>
                <w:color w:val="000000"/>
                <w:lang w:val="en-US"/>
              </w:rPr>
            </w:pPr>
            <w:r w:rsidRPr="00B84D67">
              <w:rPr>
                <w:rFonts w:eastAsia="Times New Roman" w:cstheme="minorHAnsi"/>
                <w:color w:val="000000"/>
              </w:rPr>
              <w:t>Bare land strata lots or subdivided lots</w:t>
            </w:r>
            <w:r w:rsidRPr="00B84D67">
              <w:rPr>
                <w:rFonts w:eastAsia="Times New Roman" w:cstheme="minorHAnsi"/>
                <w:color w:val="000000"/>
                <w:lang w:val="en-US"/>
              </w:rPr>
              <w:t>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65088A92" w14:textId="77777777" w:rsidR="00B84D67" w:rsidRPr="00B84D67" w:rsidRDefault="00B84D67" w:rsidP="00B84D67">
            <w:pPr>
              <w:textAlignment w:val="baseline"/>
              <w:rPr>
                <w:rFonts w:eastAsia="Times New Roman" w:cstheme="minorHAnsi"/>
                <w:color w:val="000000"/>
                <w:lang w:val="en-US"/>
              </w:rPr>
            </w:pPr>
            <w:r w:rsidRPr="00B84D67">
              <w:rPr>
                <w:rFonts w:eastAsia="Times New Roman" w:cstheme="minorHAnsi"/>
                <w:color w:val="000000"/>
              </w:rPr>
              <w:t>Preliminary layout approval or plan deposit </w:t>
            </w:r>
            <w:r w:rsidRPr="00B84D67">
              <w:rPr>
                <w:rFonts w:eastAsia="Times New Roman" w:cstheme="minorHAnsi"/>
                <w:color w:val="000000"/>
                <w:lang w:val="en-US"/>
              </w:rPr>
              <w:t> </w:t>
            </w:r>
          </w:p>
        </w:tc>
      </w:tr>
      <w:tr w:rsidR="00B84D67" w:rsidRPr="00B84D67" w14:paraId="0F091004" w14:textId="77777777" w:rsidTr="00B84D67">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39514F21" w14:textId="77777777" w:rsidR="00B84D67" w:rsidRPr="00B84D67" w:rsidRDefault="00B84D67" w:rsidP="00B84D67">
            <w:pPr>
              <w:textAlignment w:val="baseline"/>
              <w:rPr>
                <w:rFonts w:eastAsia="Times New Roman" w:cstheme="minorHAnsi"/>
                <w:color w:val="000000"/>
                <w:lang w:val="en-US"/>
              </w:rPr>
            </w:pPr>
            <w:r w:rsidRPr="00B84D67">
              <w:rPr>
                <w:rFonts w:eastAsia="Times New Roman" w:cstheme="minorHAnsi"/>
                <w:color w:val="000000"/>
              </w:rPr>
              <w:t>Strata lots and leasehold units</w:t>
            </w:r>
            <w:r w:rsidRPr="00B84D67">
              <w:rPr>
                <w:rFonts w:eastAsia="Times New Roman" w:cstheme="minorHAnsi"/>
                <w:color w:val="000000"/>
                <w:lang w:val="en-US"/>
              </w:rPr>
              <w:t> </w:t>
            </w:r>
          </w:p>
        </w:tc>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7F55862B" w14:textId="77777777" w:rsidR="00B84D67" w:rsidRPr="00B84D67" w:rsidRDefault="00B84D67" w:rsidP="00B84D67">
            <w:pPr>
              <w:textAlignment w:val="baseline"/>
              <w:rPr>
                <w:rFonts w:eastAsia="Times New Roman" w:cstheme="minorHAnsi"/>
                <w:color w:val="000000"/>
                <w:lang w:val="en-US"/>
              </w:rPr>
            </w:pPr>
            <w:r w:rsidRPr="00B84D67">
              <w:rPr>
                <w:rFonts w:eastAsia="Times New Roman" w:cstheme="minorHAnsi"/>
                <w:color w:val="000000"/>
              </w:rPr>
              <w:t>Building permit or plan deposit </w:t>
            </w:r>
            <w:r w:rsidRPr="00B84D67">
              <w:rPr>
                <w:rFonts w:eastAsia="Times New Roman" w:cstheme="minorHAnsi"/>
                <w:color w:val="000000"/>
                <w:lang w:val="en-US"/>
              </w:rPr>
              <w:t> </w:t>
            </w:r>
          </w:p>
        </w:tc>
      </w:tr>
    </w:tbl>
    <w:p w14:paraId="69B82E9C" w14:textId="62549165" w:rsidR="00B84D67" w:rsidRPr="00371108" w:rsidRDefault="00E54801" w:rsidP="00934D5A">
      <w:pPr>
        <w:pStyle w:val="ListNumber"/>
        <w:rPr>
          <w:rFonts w:cstheme="minorHAnsi"/>
        </w:rPr>
      </w:pPr>
      <w:r w:rsidRPr="00371108">
        <w:rPr>
          <w:rStyle w:val="normaltextrun"/>
          <w:rFonts w:cstheme="minorHAnsi"/>
          <w:color w:val="000000"/>
          <w:shd w:val="clear" w:color="auto" w:fill="FFFFFF"/>
        </w:rPr>
        <w:t>The requirements of this Policy Statement apply to each individual phase of a development property that is or is proposed to be a “phased strata plan” as defined in the </w:t>
      </w:r>
      <w:r w:rsidRPr="00371108">
        <w:rPr>
          <w:rStyle w:val="normaltextrun"/>
          <w:rFonts w:cstheme="minorHAnsi"/>
          <w:i/>
          <w:iCs/>
          <w:color w:val="000000"/>
          <w:shd w:val="clear" w:color="auto" w:fill="FFFFFF"/>
        </w:rPr>
        <w:t>Strata Property Act</w:t>
      </w:r>
      <w:r w:rsidR="0071746A">
        <w:rPr>
          <w:rStyle w:val="normaltextrun"/>
          <w:rFonts w:cstheme="minorHAnsi"/>
          <w:color w:val="000000"/>
          <w:shd w:val="clear" w:color="auto" w:fill="FFFFFF"/>
        </w:rPr>
        <w:t xml:space="preserve">; </w:t>
      </w:r>
      <w:r w:rsidR="00FF1966">
        <w:rPr>
          <w:rStyle w:val="normaltextrun"/>
          <w:rFonts w:cstheme="minorHAnsi"/>
          <w:color w:val="000000"/>
          <w:shd w:val="clear" w:color="auto" w:fill="FFFFFF"/>
        </w:rPr>
        <w:t>or</w:t>
      </w:r>
      <w:r w:rsidR="0071746A">
        <w:rPr>
          <w:rStyle w:val="normaltextrun"/>
          <w:rFonts w:cstheme="minorHAnsi"/>
          <w:color w:val="000000"/>
          <w:shd w:val="clear" w:color="auto" w:fill="FFFFFF"/>
        </w:rPr>
        <w:t xml:space="preserve"> to each part of a multi-part strata plan in areas governed by other strata legislation. </w:t>
      </w:r>
    </w:p>
    <w:p w14:paraId="59E1099C" w14:textId="19167E1E" w:rsidR="00713F78" w:rsidRPr="00371108" w:rsidRDefault="00934D5A" w:rsidP="00934D5A">
      <w:pPr>
        <w:pStyle w:val="ListNumber"/>
        <w:rPr>
          <w:rFonts w:cstheme="minorHAnsi"/>
        </w:rPr>
      </w:pPr>
      <w:r w:rsidRPr="00371108">
        <w:rPr>
          <w:rFonts w:cstheme="minorHAnsi"/>
          <w:noProof/>
        </w:rPr>
        <mc:AlternateContent>
          <mc:Choice Requires="wps">
            <w:drawing>
              <wp:anchor distT="45720" distB="45720" distL="114300" distR="114300" simplePos="0" relativeHeight="251658240" behindDoc="0" locked="1" layoutInCell="1" allowOverlap="1" wp14:anchorId="54C0F44A" wp14:editId="32392F23">
                <wp:simplePos x="0" y="0"/>
                <wp:positionH relativeFrom="margin">
                  <wp:posOffset>-3175</wp:posOffset>
                </wp:positionH>
                <wp:positionV relativeFrom="margin">
                  <wp:posOffset>7680960</wp:posOffset>
                </wp:positionV>
                <wp:extent cx="2159000" cy="231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31775"/>
                        </a:xfrm>
                        <a:prstGeom prst="rect">
                          <a:avLst/>
                        </a:prstGeom>
                        <a:noFill/>
                        <a:ln w="9525">
                          <a:noFill/>
                          <a:miter lim="800000"/>
                          <a:headEnd/>
                          <a:tailEnd/>
                        </a:ln>
                      </wps:spPr>
                      <wps:txbx>
                        <w:txbxContent>
                          <w:p w14:paraId="48173343" w14:textId="0FFBAE7E" w:rsidR="003B6AEF" w:rsidRDefault="003B6AEF" w:rsidP="003B6AEF">
                            <w:pPr>
                              <w:pStyle w:val="NoSpacing"/>
                            </w:pPr>
                            <w:r>
                              <w:t>RE: Policy Statement 0</w:t>
                            </w:r>
                            <w:r w:rsidR="00713F78">
                              <w:t>5</w:t>
                            </w:r>
                            <w:r>
                              <w:t xml:space="preserve"> – </w:t>
                            </w:r>
                            <w:r w:rsidR="00625955">
                              <w:t>March 2023</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C0F44A" id="_x0000_t202" coordsize="21600,21600" o:spt="202" path="m,l,21600r21600,l21600,xe">
                <v:stroke joinstyle="miter"/>
                <v:path gradientshapeok="t" o:connecttype="rect"/>
              </v:shapetype>
              <v:shape id="Text Box 2" o:spid="_x0000_s1026" type="#_x0000_t202" style="position:absolute;left:0;text-align:left;margin-left:-.25pt;margin-top:604.8pt;width:170pt;height:18.25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" filled="f" stroked="f">
                <v:textbox style="mso-fit-shape-to-text:t" inset="0">
                  <w:txbxContent>
                    <w:p w14:paraId="48173343" w14:textId="0FFBAE7E" w:rsidR="003B6AEF" w:rsidRDefault="003B6AEF" w:rsidP="003B6AEF">
                      <w:pPr>
                        <w:pStyle w:val="NoSpacing"/>
                      </w:pPr>
                      <w:r>
                        <w:t>RE: Policy Statement 0</w:t>
                      </w:r>
                      <w:r w:rsidR="00713F78">
                        <w:t>5</w:t>
                      </w:r>
                      <w:r>
                        <w:t xml:space="preserve"> – </w:t>
                      </w:r>
                      <w:r w:rsidR="00625955">
                        <w:t>March 2023</w:t>
                      </w:r>
                    </w:p>
                  </w:txbxContent>
                </v:textbox>
                <w10:wrap anchorx="margin" anchory="margin"/>
                <w10:anchorlock/>
              </v:shape>
            </w:pict>
          </mc:Fallback>
        </mc:AlternateContent>
      </w:r>
      <w:r w:rsidR="00713F78" w:rsidRPr="00371108">
        <w:rPr>
          <w:rFonts w:cstheme="minorHAnsi"/>
        </w:rPr>
        <w:t xml:space="preserve">Transitional Provisions – Filings Prior to </w:t>
      </w:r>
      <w:r w:rsidR="00BF39BA">
        <w:rPr>
          <w:rFonts w:cstheme="minorHAnsi"/>
        </w:rPr>
        <w:t>March 8, 2023</w:t>
      </w:r>
    </w:p>
    <w:p w14:paraId="3D165FF1" w14:textId="4CA0961E" w:rsidR="00713F78" w:rsidRDefault="00EE1978" w:rsidP="00934D5A">
      <w:pPr>
        <w:pStyle w:val="BodyText"/>
        <w:rPr>
          <w:rFonts w:cstheme="minorHAnsi"/>
        </w:rPr>
      </w:pPr>
      <w:r w:rsidRPr="00371108">
        <w:rPr>
          <w:rFonts w:cstheme="minorHAnsi"/>
        </w:rPr>
        <w:t xml:space="preserve">A disclosure statement or prospectus filed under the Act prior to </w:t>
      </w:r>
      <w:r w:rsidR="005A0304">
        <w:rPr>
          <w:rFonts w:cstheme="minorHAnsi"/>
        </w:rPr>
        <w:t>March 8, 2023</w:t>
      </w:r>
      <w:r w:rsidRPr="00371108">
        <w:rPr>
          <w:rFonts w:cstheme="minorHAnsi"/>
        </w:rPr>
        <w:t xml:space="preserve">, continues to satisfy the circumstances, applicable </w:t>
      </w:r>
      <w:proofErr w:type="gramStart"/>
      <w:r w:rsidRPr="00371108">
        <w:rPr>
          <w:rFonts w:cstheme="minorHAnsi"/>
        </w:rPr>
        <w:t>terms</w:t>
      </w:r>
      <w:proofErr w:type="gramEnd"/>
      <w:r w:rsidRPr="00371108">
        <w:rPr>
          <w:rFonts w:cstheme="minorHAnsi"/>
        </w:rPr>
        <w:t xml:space="preserve"> and conditions, under which the superintendent’s permission to begin marketing is deemed to be granted in accordance with this Policy Statement, if that disclosure statement or prospectus complied with this Policy Statement </w:t>
      </w:r>
      <w:r w:rsidRPr="00CB6EFB">
        <w:rPr>
          <w:rFonts w:cstheme="minorHAnsi"/>
        </w:rPr>
        <w:t>immediately prior</w:t>
      </w:r>
      <w:r w:rsidRPr="00371108">
        <w:rPr>
          <w:rFonts w:cstheme="minorHAnsi"/>
        </w:rPr>
        <w:t xml:space="preserve"> to </w:t>
      </w:r>
      <w:r w:rsidR="00BF39BA">
        <w:rPr>
          <w:rFonts w:cstheme="minorHAnsi"/>
        </w:rPr>
        <w:t>March 8, 2023</w:t>
      </w:r>
      <w:r w:rsidRPr="00371108">
        <w:rPr>
          <w:rFonts w:cstheme="minorHAnsi"/>
        </w:rPr>
        <w:t>.</w:t>
      </w:r>
    </w:p>
    <w:p w14:paraId="36693C1E" w14:textId="77777777" w:rsidR="00EA5661" w:rsidRPr="00EA5661" w:rsidRDefault="00EA5661" w:rsidP="00EA5661"/>
    <w:p w14:paraId="302D66F2" w14:textId="77777777" w:rsidR="00EA5661" w:rsidRPr="00EA5661" w:rsidRDefault="00EA5661" w:rsidP="00EA5661"/>
    <w:p w14:paraId="39001440" w14:textId="77777777" w:rsidR="00EA5661" w:rsidRPr="00EA5661" w:rsidRDefault="00EA5661" w:rsidP="00EA5661"/>
    <w:p w14:paraId="023B8BC2" w14:textId="77777777" w:rsidR="00EA5661" w:rsidRPr="00EA5661" w:rsidRDefault="00EA5661" w:rsidP="00EA5661"/>
    <w:p w14:paraId="15887283" w14:textId="77777777" w:rsidR="00EA5661" w:rsidRPr="00EA5661" w:rsidRDefault="00EA5661" w:rsidP="00EA5661"/>
    <w:p w14:paraId="74C06075" w14:textId="77777777" w:rsidR="00EA5661" w:rsidRPr="00EA5661" w:rsidRDefault="00EA5661" w:rsidP="00EA5661"/>
    <w:p w14:paraId="4D6F2F8A" w14:textId="77777777" w:rsidR="00EA5661" w:rsidRPr="00EA5661" w:rsidRDefault="00EA5661" w:rsidP="00EA5661"/>
    <w:p w14:paraId="65771C76" w14:textId="77777777" w:rsidR="00EA5661" w:rsidRPr="00EA5661" w:rsidRDefault="00EA5661" w:rsidP="00EA5661"/>
    <w:p w14:paraId="7D861F91" w14:textId="77777777" w:rsidR="00EA5661" w:rsidRPr="00EA5661" w:rsidRDefault="00EA5661" w:rsidP="00EA5661"/>
    <w:p w14:paraId="51A51D8D" w14:textId="77777777" w:rsidR="00EA5661" w:rsidRPr="00EA5661" w:rsidRDefault="00EA5661" w:rsidP="00EA5661"/>
    <w:p w14:paraId="287C2B8B" w14:textId="77777777" w:rsidR="00EA5661" w:rsidRPr="00EA5661" w:rsidRDefault="00EA5661" w:rsidP="00EA5661"/>
    <w:p w14:paraId="7D44B1FE" w14:textId="77777777" w:rsidR="00EA5661" w:rsidRPr="00EA5661" w:rsidRDefault="00EA5661" w:rsidP="00EA5661"/>
    <w:p w14:paraId="316B85DC" w14:textId="77777777" w:rsidR="00EA5661" w:rsidRPr="00EA5661" w:rsidRDefault="00EA5661" w:rsidP="00EA5661"/>
    <w:p w14:paraId="2F2F9E82" w14:textId="77777777" w:rsidR="00EA5661" w:rsidRPr="00EA5661" w:rsidRDefault="00EA5661" w:rsidP="00EA5661"/>
    <w:p w14:paraId="560B48A7" w14:textId="77777777" w:rsidR="00EA5661" w:rsidRPr="00EA5661" w:rsidRDefault="00EA5661" w:rsidP="00EA5661"/>
    <w:p w14:paraId="32A1CF57" w14:textId="77777777" w:rsidR="00EA5661" w:rsidRPr="00EA5661" w:rsidRDefault="00EA5661" w:rsidP="00EA5661"/>
    <w:p w14:paraId="6F756EDB" w14:textId="77777777" w:rsidR="00EA5661" w:rsidRPr="00EA5661" w:rsidRDefault="00EA5661" w:rsidP="00EA5661"/>
    <w:p w14:paraId="0D6F8A7D" w14:textId="77777777" w:rsidR="00EA5661" w:rsidRPr="00EA5661" w:rsidRDefault="00EA5661" w:rsidP="00EA5661"/>
    <w:p w14:paraId="795ADD8B" w14:textId="77777777" w:rsidR="00EA5661" w:rsidRPr="00EA5661" w:rsidRDefault="00EA5661" w:rsidP="00EA5661"/>
    <w:p w14:paraId="3925B355" w14:textId="77777777" w:rsidR="00EA5661" w:rsidRPr="00EA5661" w:rsidRDefault="00EA5661" w:rsidP="00EA5661"/>
    <w:p w14:paraId="01E57D18" w14:textId="77777777" w:rsidR="00EA5661" w:rsidRPr="00EA5661" w:rsidRDefault="00EA5661" w:rsidP="00EA5661"/>
    <w:p w14:paraId="0ABFB9D2" w14:textId="77777777" w:rsidR="00EA5661" w:rsidRPr="00EA5661" w:rsidRDefault="00EA5661" w:rsidP="00EA5661"/>
    <w:p w14:paraId="0E6411F8" w14:textId="77777777" w:rsidR="00EA5661" w:rsidRPr="00EA5661" w:rsidRDefault="00EA5661" w:rsidP="00EA5661"/>
    <w:p w14:paraId="40FDFFC3" w14:textId="77777777" w:rsidR="00EA5661" w:rsidRPr="00EA5661" w:rsidRDefault="00EA5661" w:rsidP="00EA5661"/>
    <w:p w14:paraId="036A414E" w14:textId="77777777" w:rsidR="00EA5661" w:rsidRPr="00EA5661" w:rsidRDefault="00EA5661" w:rsidP="00EA5661"/>
    <w:p w14:paraId="2FCB0CC1" w14:textId="77777777" w:rsidR="00EA5661" w:rsidRPr="00EA5661" w:rsidRDefault="00EA5661" w:rsidP="00EA5661"/>
    <w:p w14:paraId="0E322756" w14:textId="77777777" w:rsidR="00EA5661" w:rsidRPr="00EA5661" w:rsidRDefault="00EA5661" w:rsidP="00EA5661">
      <w:pPr>
        <w:jc w:val="center"/>
      </w:pPr>
    </w:p>
    <w:sectPr w:rsidR="00EA5661" w:rsidRPr="00EA5661"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E5EA" w14:textId="77777777" w:rsidR="00630C51" w:rsidRDefault="00630C51" w:rsidP="00BD66A5">
      <w:r>
        <w:separator/>
      </w:r>
    </w:p>
  </w:endnote>
  <w:endnote w:type="continuationSeparator" w:id="0">
    <w:p w14:paraId="580724AD" w14:textId="77777777" w:rsidR="00630C51" w:rsidRDefault="00630C51" w:rsidP="00BD66A5">
      <w:r>
        <w:continuationSeparator/>
      </w:r>
    </w:p>
  </w:endnote>
  <w:endnote w:type="continuationNotice" w:id="1">
    <w:p w14:paraId="78940652" w14:textId="77777777" w:rsidR="00630C51" w:rsidRDefault="0063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368D"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5F243278" wp14:editId="0AB111CB">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8D28" w14:textId="47ABD457" w:rsidR="00A667D2" w:rsidRPr="00AC6C33" w:rsidRDefault="00AC6C33"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xml:space="preserve">. Effective </w:t>
    </w:r>
    <w:r w:rsidR="00D0574A">
      <w:rPr>
        <w:b/>
        <w:bCs/>
        <w:i w:val="0"/>
        <w:iCs w:val="0"/>
        <w:szCs w:val="16"/>
      </w:rPr>
      <w:t>August 1, 2021</w:t>
    </w:r>
    <w:r w:rsidRPr="00BF542E">
      <w:rPr>
        <w:b/>
        <w:bCs/>
        <w:i w:val="0"/>
        <w:iCs w:val="0"/>
        <w:szCs w:val="16"/>
      </w:rPr>
      <w:t>, the Superintendent of Real Estate operates within the BC Financial Services Authority.</w:t>
    </w:r>
  </w:p>
  <w:p w14:paraId="70BFE95B"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1BDF06D19F1249459A4CA908DD130B65"/>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0D68403F" w14:textId="4DACA840" w:rsidR="00AC28C1" w:rsidRPr="00AC28C1" w:rsidRDefault="001D4204" w:rsidP="002212BB">
    <w:pPr>
      <w:pStyle w:val="Footer"/>
    </w:pPr>
    <w:r>
      <w:t>Real Estate Development Marketing Act</w:t>
    </w:r>
    <w:r w:rsidR="00AC28C1">
      <w:t xml:space="preserve"> / </w:t>
    </w:r>
    <w:r>
      <w:t xml:space="preserve">Policy Statement </w:t>
    </w:r>
    <w:r w:rsidR="00D25C24">
      <w:t>5</w:t>
    </w:r>
    <w:r w:rsidR="00AC28C1">
      <w:t xml:space="preserve"> / </w:t>
    </w:r>
    <w:r w:rsidR="00066349">
      <w:t>[</w:t>
    </w:r>
    <w:r w:rsidR="005A0304">
      <w:rPr>
        <w:i/>
        <w:iCs/>
      </w:rPr>
      <w:t>03</w:t>
    </w:r>
    <w:r w:rsidR="00066349">
      <w:rPr>
        <w:i/>
        <w:iCs/>
      </w:rPr>
      <w:t>/</w:t>
    </w:r>
    <w:r w:rsidR="005A0304">
      <w:rPr>
        <w:i/>
        <w:iCs/>
      </w:rPr>
      <w:t>23</w:t>
    </w:r>
    <w:r w:rsidR="0006634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9D0C" w14:textId="77777777" w:rsidR="00630C51" w:rsidRPr="00E5193A" w:rsidRDefault="00630C51" w:rsidP="00E5193A">
      <w:pPr>
        <w:pStyle w:val="Footer"/>
      </w:pPr>
    </w:p>
  </w:footnote>
  <w:footnote w:type="continuationSeparator" w:id="0">
    <w:p w14:paraId="76F036B8" w14:textId="77777777" w:rsidR="00630C51" w:rsidRPr="00E5193A" w:rsidRDefault="00630C51" w:rsidP="00E5193A">
      <w:pPr>
        <w:pStyle w:val="Footer"/>
      </w:pPr>
    </w:p>
  </w:footnote>
  <w:footnote w:type="continuationNotice" w:id="1">
    <w:p w14:paraId="01F1384D" w14:textId="77777777" w:rsidR="00630C51" w:rsidRDefault="00630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1FE7" w14:textId="77777777" w:rsidR="0011231F" w:rsidRDefault="0011231F">
    <w:pPr>
      <w:pStyle w:val="Header"/>
    </w:pPr>
    <w:r>
      <w:rPr>
        <w:noProof/>
      </w:rPr>
      <w:drawing>
        <wp:inline distT="0" distB="0" distL="0" distR="0" wp14:anchorId="684A6D96" wp14:editId="0A5AF98C">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13FC" w14:textId="3916FE50" w:rsidR="00137129" w:rsidRDefault="0011231F">
    <w:pPr>
      <w:pStyle w:val="Header"/>
    </w:pPr>
    <w:r>
      <w:rPr>
        <w:noProof/>
      </w:rPr>
      <w:drawing>
        <wp:inline distT="0" distB="0" distL="0" distR="0" wp14:anchorId="46045750" wp14:editId="2F96653D">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B4CB8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352E456"/>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1F7054B1"/>
    <w:multiLevelType w:val="multilevel"/>
    <w:tmpl w:val="791241FE"/>
    <w:numStyleLink w:val="BCFSANumbers"/>
  </w:abstractNum>
  <w:abstractNum w:abstractNumId="8" w15:restartNumberingAfterBreak="0">
    <w:nsid w:val="21822B67"/>
    <w:multiLevelType w:val="multilevel"/>
    <w:tmpl w:val="5A5C0A72"/>
    <w:numStyleLink w:val="BCFSABullets"/>
  </w:abstractNum>
  <w:abstractNum w:abstractNumId="9" w15:restartNumberingAfterBreak="0">
    <w:nsid w:val="250A3B5F"/>
    <w:multiLevelType w:val="multilevel"/>
    <w:tmpl w:val="5A5C0A72"/>
    <w:numStyleLink w:val="BCFSABullets"/>
  </w:abstractNum>
  <w:abstractNum w:abstractNumId="10" w15:restartNumberingAfterBreak="0">
    <w:nsid w:val="2EEF4B11"/>
    <w:multiLevelType w:val="multilevel"/>
    <w:tmpl w:val="5A5C0A72"/>
    <w:numStyleLink w:val="BCFSABullets"/>
  </w:abstractNum>
  <w:abstractNum w:abstractNumId="11"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F371C6"/>
    <w:multiLevelType w:val="multilevel"/>
    <w:tmpl w:val="791241FE"/>
    <w:numStyleLink w:val="BCFSANumbers"/>
  </w:abstractNum>
  <w:abstractNum w:abstractNumId="14" w15:restartNumberingAfterBreak="0">
    <w:nsid w:val="3DD02392"/>
    <w:multiLevelType w:val="multilevel"/>
    <w:tmpl w:val="10C6BEAC"/>
    <w:numStyleLink w:val="NoteBullet"/>
  </w:abstractNum>
  <w:abstractNum w:abstractNumId="15"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6"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9" w15:restartNumberingAfterBreak="0">
    <w:nsid w:val="421F5FE6"/>
    <w:multiLevelType w:val="multilevel"/>
    <w:tmpl w:val="791241FE"/>
    <w:numStyleLink w:val="BCFSANumbers"/>
  </w:abstractNum>
  <w:abstractNum w:abstractNumId="20" w15:restartNumberingAfterBreak="0">
    <w:nsid w:val="67D94E33"/>
    <w:multiLevelType w:val="multilevel"/>
    <w:tmpl w:val="791241FE"/>
    <w:numStyleLink w:val="BCFSANumbers"/>
  </w:abstractNum>
  <w:abstractNum w:abstractNumId="21" w15:restartNumberingAfterBreak="0">
    <w:nsid w:val="6B8D4CAB"/>
    <w:multiLevelType w:val="multilevel"/>
    <w:tmpl w:val="791241FE"/>
    <w:numStyleLink w:val="BCFSANumbers"/>
  </w:abstractNum>
  <w:abstractNum w:abstractNumId="22" w15:restartNumberingAfterBreak="0">
    <w:nsid w:val="6EC252BE"/>
    <w:multiLevelType w:val="multilevel"/>
    <w:tmpl w:val="791241FE"/>
    <w:numStyleLink w:val="BCFSANumbers"/>
  </w:abstractNum>
  <w:abstractNum w:abstractNumId="23"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755912"/>
    <w:multiLevelType w:val="multilevel"/>
    <w:tmpl w:val="A6E04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D37F5"/>
    <w:multiLevelType w:val="multilevel"/>
    <w:tmpl w:val="5A5C0A72"/>
    <w:numStyleLink w:val="BCFSABullets"/>
  </w:abstractNum>
  <w:abstractNum w:abstractNumId="26" w15:restartNumberingAfterBreak="0">
    <w:nsid w:val="7AC12230"/>
    <w:multiLevelType w:val="multilevel"/>
    <w:tmpl w:val="5A5C0A72"/>
    <w:numStyleLink w:val="BCFSABullets"/>
  </w:abstractNum>
  <w:num w:numId="1" w16cid:durableId="2013751799">
    <w:abstractNumId w:val="18"/>
  </w:num>
  <w:num w:numId="2" w16cid:durableId="36123644">
    <w:abstractNumId w:val="4"/>
  </w:num>
  <w:num w:numId="3" w16cid:durableId="1042051412">
    <w:abstractNumId w:val="8"/>
  </w:num>
  <w:num w:numId="4" w16cid:durableId="1269000428">
    <w:abstractNumId w:val="26"/>
  </w:num>
  <w:num w:numId="5" w16cid:durableId="1718318488">
    <w:abstractNumId w:val="17"/>
  </w:num>
  <w:num w:numId="6" w16cid:durableId="1953706406">
    <w:abstractNumId w:val="23"/>
  </w:num>
  <w:num w:numId="7" w16cid:durableId="538397808">
    <w:abstractNumId w:val="3"/>
  </w:num>
  <w:num w:numId="8" w16cid:durableId="10876557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972222">
    <w:abstractNumId w:val="25"/>
  </w:num>
  <w:num w:numId="10" w16cid:durableId="470026360">
    <w:abstractNumId w:val="9"/>
  </w:num>
  <w:num w:numId="11" w16cid:durableId="893472622">
    <w:abstractNumId w:val="21"/>
  </w:num>
  <w:num w:numId="12" w16cid:durableId="2111971463">
    <w:abstractNumId w:val="6"/>
  </w:num>
  <w:num w:numId="13" w16cid:durableId="829254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618314">
    <w:abstractNumId w:val="10"/>
  </w:num>
  <w:num w:numId="15" w16cid:durableId="208954916">
    <w:abstractNumId w:val="20"/>
  </w:num>
  <w:num w:numId="16" w16cid:durableId="1122265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311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1443320">
    <w:abstractNumId w:val="1"/>
  </w:num>
  <w:num w:numId="19" w16cid:durableId="1217080983">
    <w:abstractNumId w:val="0"/>
  </w:num>
  <w:num w:numId="20" w16cid:durableId="1493523520">
    <w:abstractNumId w:val="13"/>
  </w:num>
  <w:num w:numId="21" w16cid:durableId="693730711">
    <w:abstractNumId w:val="2"/>
  </w:num>
  <w:num w:numId="22" w16cid:durableId="1546717367">
    <w:abstractNumId w:val="5"/>
  </w:num>
  <w:num w:numId="23" w16cid:durableId="1191260294">
    <w:abstractNumId w:val="14"/>
  </w:num>
  <w:num w:numId="24" w16cid:durableId="209851416">
    <w:abstractNumId w:val="16"/>
  </w:num>
  <w:num w:numId="25" w16cid:durableId="493108259">
    <w:abstractNumId w:val="11"/>
  </w:num>
  <w:num w:numId="26" w16cid:durableId="933051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3622368">
    <w:abstractNumId w:val="12"/>
  </w:num>
  <w:num w:numId="28" w16cid:durableId="929891601">
    <w:abstractNumId w:val="15"/>
  </w:num>
  <w:num w:numId="29" w16cid:durableId="1612474000">
    <w:abstractNumId w:val="15"/>
  </w:num>
  <w:num w:numId="30" w16cid:durableId="591008822">
    <w:abstractNumId w:val="15"/>
  </w:num>
  <w:num w:numId="31" w16cid:durableId="1377122688">
    <w:abstractNumId w:val="15"/>
  </w:num>
  <w:num w:numId="32" w16cid:durableId="173348172">
    <w:abstractNumId w:val="15"/>
  </w:num>
  <w:num w:numId="33" w16cid:durableId="1172602001">
    <w:abstractNumId w:val="19"/>
  </w:num>
  <w:num w:numId="34" w16cid:durableId="1253975330">
    <w:abstractNumId w:val="7"/>
  </w:num>
  <w:num w:numId="35" w16cid:durableId="1084644841">
    <w:abstractNumId w:val="7"/>
  </w:num>
  <w:num w:numId="36" w16cid:durableId="1282689714">
    <w:abstractNumId w:val="22"/>
  </w:num>
  <w:num w:numId="37" w16cid:durableId="3821031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78"/>
    <w:rsid w:val="00000A8D"/>
    <w:rsid w:val="00001CD9"/>
    <w:rsid w:val="000035BA"/>
    <w:rsid w:val="00004700"/>
    <w:rsid w:val="0000544A"/>
    <w:rsid w:val="0000682A"/>
    <w:rsid w:val="00010521"/>
    <w:rsid w:val="00011422"/>
    <w:rsid w:val="0001263C"/>
    <w:rsid w:val="0001430D"/>
    <w:rsid w:val="00014FB8"/>
    <w:rsid w:val="0001636E"/>
    <w:rsid w:val="000227A4"/>
    <w:rsid w:val="000237A3"/>
    <w:rsid w:val="000245F2"/>
    <w:rsid w:val="00025266"/>
    <w:rsid w:val="00025DC4"/>
    <w:rsid w:val="000271DD"/>
    <w:rsid w:val="0003003A"/>
    <w:rsid w:val="00030E78"/>
    <w:rsid w:val="000332D5"/>
    <w:rsid w:val="00034471"/>
    <w:rsid w:val="00036487"/>
    <w:rsid w:val="00036995"/>
    <w:rsid w:val="00042E68"/>
    <w:rsid w:val="00043585"/>
    <w:rsid w:val="00044D14"/>
    <w:rsid w:val="00045694"/>
    <w:rsid w:val="000514FA"/>
    <w:rsid w:val="00053C96"/>
    <w:rsid w:val="000541F0"/>
    <w:rsid w:val="00054594"/>
    <w:rsid w:val="00062196"/>
    <w:rsid w:val="00063F17"/>
    <w:rsid w:val="00066349"/>
    <w:rsid w:val="00071B7B"/>
    <w:rsid w:val="000722EC"/>
    <w:rsid w:val="000749D5"/>
    <w:rsid w:val="00076406"/>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4E"/>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235C5"/>
    <w:rsid w:val="00124843"/>
    <w:rsid w:val="00126217"/>
    <w:rsid w:val="00130F03"/>
    <w:rsid w:val="00131B64"/>
    <w:rsid w:val="001320D6"/>
    <w:rsid w:val="0013486A"/>
    <w:rsid w:val="00136E95"/>
    <w:rsid w:val="00137129"/>
    <w:rsid w:val="001403CF"/>
    <w:rsid w:val="001407B8"/>
    <w:rsid w:val="0014543E"/>
    <w:rsid w:val="00145653"/>
    <w:rsid w:val="00147520"/>
    <w:rsid w:val="00154E5D"/>
    <w:rsid w:val="00156471"/>
    <w:rsid w:val="00157A73"/>
    <w:rsid w:val="001664B5"/>
    <w:rsid w:val="0016722F"/>
    <w:rsid w:val="001675AD"/>
    <w:rsid w:val="00170599"/>
    <w:rsid w:val="001755B2"/>
    <w:rsid w:val="00181690"/>
    <w:rsid w:val="00182796"/>
    <w:rsid w:val="00182DC3"/>
    <w:rsid w:val="001841FF"/>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142"/>
    <w:rsid w:val="002202F4"/>
    <w:rsid w:val="002212BB"/>
    <w:rsid w:val="002233AC"/>
    <w:rsid w:val="002239BB"/>
    <w:rsid w:val="00223EA3"/>
    <w:rsid w:val="00224067"/>
    <w:rsid w:val="00224D4B"/>
    <w:rsid w:val="0022747F"/>
    <w:rsid w:val="002324CB"/>
    <w:rsid w:val="00233EC6"/>
    <w:rsid w:val="002351EB"/>
    <w:rsid w:val="00236DB6"/>
    <w:rsid w:val="00242B4F"/>
    <w:rsid w:val="00250674"/>
    <w:rsid w:val="002546A9"/>
    <w:rsid w:val="00256F6B"/>
    <w:rsid w:val="00261E0A"/>
    <w:rsid w:val="00263271"/>
    <w:rsid w:val="0026653A"/>
    <w:rsid w:val="00275E9E"/>
    <w:rsid w:val="00276FAE"/>
    <w:rsid w:val="002777E2"/>
    <w:rsid w:val="00286C15"/>
    <w:rsid w:val="00286DDD"/>
    <w:rsid w:val="00291965"/>
    <w:rsid w:val="00292727"/>
    <w:rsid w:val="002929E9"/>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1AB"/>
    <w:rsid w:val="0030354D"/>
    <w:rsid w:val="00304B7E"/>
    <w:rsid w:val="00307071"/>
    <w:rsid w:val="00307BF7"/>
    <w:rsid w:val="00312C1F"/>
    <w:rsid w:val="00313B3B"/>
    <w:rsid w:val="003153CA"/>
    <w:rsid w:val="0031576E"/>
    <w:rsid w:val="00317D2B"/>
    <w:rsid w:val="00317E0A"/>
    <w:rsid w:val="00321DA9"/>
    <w:rsid w:val="003278F1"/>
    <w:rsid w:val="003325BC"/>
    <w:rsid w:val="00335E84"/>
    <w:rsid w:val="0033754A"/>
    <w:rsid w:val="00337554"/>
    <w:rsid w:val="00337AC9"/>
    <w:rsid w:val="00341709"/>
    <w:rsid w:val="0034404A"/>
    <w:rsid w:val="003463A5"/>
    <w:rsid w:val="003513A0"/>
    <w:rsid w:val="003516B1"/>
    <w:rsid w:val="00351708"/>
    <w:rsid w:val="003524C7"/>
    <w:rsid w:val="00353226"/>
    <w:rsid w:val="0035522C"/>
    <w:rsid w:val="00357CCC"/>
    <w:rsid w:val="00362D57"/>
    <w:rsid w:val="00370BEB"/>
    <w:rsid w:val="00371108"/>
    <w:rsid w:val="003720D9"/>
    <w:rsid w:val="0037320D"/>
    <w:rsid w:val="0037562D"/>
    <w:rsid w:val="00376BFA"/>
    <w:rsid w:val="003777C9"/>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173D"/>
    <w:rsid w:val="003B2C82"/>
    <w:rsid w:val="003B39F0"/>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E7FB0"/>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1094"/>
    <w:rsid w:val="004340A3"/>
    <w:rsid w:val="00435D32"/>
    <w:rsid w:val="004372B4"/>
    <w:rsid w:val="00441312"/>
    <w:rsid w:val="004416DF"/>
    <w:rsid w:val="00441762"/>
    <w:rsid w:val="0044416A"/>
    <w:rsid w:val="004448D1"/>
    <w:rsid w:val="00444C9F"/>
    <w:rsid w:val="00450EDA"/>
    <w:rsid w:val="00451759"/>
    <w:rsid w:val="0045277C"/>
    <w:rsid w:val="0045416F"/>
    <w:rsid w:val="0045455E"/>
    <w:rsid w:val="004561B6"/>
    <w:rsid w:val="00460B62"/>
    <w:rsid w:val="00460F89"/>
    <w:rsid w:val="00462F99"/>
    <w:rsid w:val="0046310A"/>
    <w:rsid w:val="00466D76"/>
    <w:rsid w:val="00467DCB"/>
    <w:rsid w:val="00473300"/>
    <w:rsid w:val="00481B5F"/>
    <w:rsid w:val="00482A58"/>
    <w:rsid w:val="004837DC"/>
    <w:rsid w:val="004843FE"/>
    <w:rsid w:val="00485161"/>
    <w:rsid w:val="00487160"/>
    <w:rsid w:val="004929C0"/>
    <w:rsid w:val="0049432C"/>
    <w:rsid w:val="004969D3"/>
    <w:rsid w:val="004A1BDD"/>
    <w:rsid w:val="004A26CB"/>
    <w:rsid w:val="004A42B0"/>
    <w:rsid w:val="004A42E8"/>
    <w:rsid w:val="004B1327"/>
    <w:rsid w:val="004B217A"/>
    <w:rsid w:val="004B25A9"/>
    <w:rsid w:val="004B262A"/>
    <w:rsid w:val="004B3441"/>
    <w:rsid w:val="004C2246"/>
    <w:rsid w:val="004C56DF"/>
    <w:rsid w:val="004C6150"/>
    <w:rsid w:val="004D1A43"/>
    <w:rsid w:val="004D23B2"/>
    <w:rsid w:val="004D23E7"/>
    <w:rsid w:val="004D2D3F"/>
    <w:rsid w:val="004D4CE9"/>
    <w:rsid w:val="004D5545"/>
    <w:rsid w:val="004D6CDE"/>
    <w:rsid w:val="004D79A9"/>
    <w:rsid w:val="004E1EEB"/>
    <w:rsid w:val="004E265B"/>
    <w:rsid w:val="004E2931"/>
    <w:rsid w:val="004E65D4"/>
    <w:rsid w:val="004F14DF"/>
    <w:rsid w:val="004F1A25"/>
    <w:rsid w:val="004F2ABD"/>
    <w:rsid w:val="004F5163"/>
    <w:rsid w:val="004F7AD7"/>
    <w:rsid w:val="004F7AFA"/>
    <w:rsid w:val="005056DF"/>
    <w:rsid w:val="005109FA"/>
    <w:rsid w:val="00511884"/>
    <w:rsid w:val="0051546C"/>
    <w:rsid w:val="005167A9"/>
    <w:rsid w:val="005171AD"/>
    <w:rsid w:val="005215CE"/>
    <w:rsid w:val="00522257"/>
    <w:rsid w:val="005243E9"/>
    <w:rsid w:val="0052702A"/>
    <w:rsid w:val="00527830"/>
    <w:rsid w:val="00527D5D"/>
    <w:rsid w:val="00540072"/>
    <w:rsid w:val="00540B7A"/>
    <w:rsid w:val="00540D13"/>
    <w:rsid w:val="00540D5A"/>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0304"/>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5955"/>
    <w:rsid w:val="0062771E"/>
    <w:rsid w:val="006303D3"/>
    <w:rsid w:val="00630C51"/>
    <w:rsid w:val="00632771"/>
    <w:rsid w:val="00632F7F"/>
    <w:rsid w:val="006338AC"/>
    <w:rsid w:val="00641728"/>
    <w:rsid w:val="00642205"/>
    <w:rsid w:val="00642740"/>
    <w:rsid w:val="00645D0C"/>
    <w:rsid w:val="00647B2A"/>
    <w:rsid w:val="0065048D"/>
    <w:rsid w:val="00660D86"/>
    <w:rsid w:val="00661BC6"/>
    <w:rsid w:val="00661D28"/>
    <w:rsid w:val="00663A81"/>
    <w:rsid w:val="0066662A"/>
    <w:rsid w:val="006674F7"/>
    <w:rsid w:val="00667F2C"/>
    <w:rsid w:val="00671D98"/>
    <w:rsid w:val="0068371D"/>
    <w:rsid w:val="00685C08"/>
    <w:rsid w:val="00686ADB"/>
    <w:rsid w:val="00687E3C"/>
    <w:rsid w:val="00691FD2"/>
    <w:rsid w:val="006926F4"/>
    <w:rsid w:val="00692800"/>
    <w:rsid w:val="0069634D"/>
    <w:rsid w:val="006A0810"/>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E7F97"/>
    <w:rsid w:val="006F0750"/>
    <w:rsid w:val="006F34E3"/>
    <w:rsid w:val="006F37EF"/>
    <w:rsid w:val="007005BC"/>
    <w:rsid w:val="0070203B"/>
    <w:rsid w:val="007020D0"/>
    <w:rsid w:val="00704C58"/>
    <w:rsid w:val="0071119F"/>
    <w:rsid w:val="00711DBE"/>
    <w:rsid w:val="00711F75"/>
    <w:rsid w:val="00713F78"/>
    <w:rsid w:val="00714613"/>
    <w:rsid w:val="0071746A"/>
    <w:rsid w:val="00721851"/>
    <w:rsid w:val="0072222B"/>
    <w:rsid w:val="00722C64"/>
    <w:rsid w:val="0072432F"/>
    <w:rsid w:val="007263E3"/>
    <w:rsid w:val="00731AF0"/>
    <w:rsid w:val="00734B63"/>
    <w:rsid w:val="00735028"/>
    <w:rsid w:val="0073641C"/>
    <w:rsid w:val="00743750"/>
    <w:rsid w:val="00745B68"/>
    <w:rsid w:val="00745D59"/>
    <w:rsid w:val="00746CC2"/>
    <w:rsid w:val="0075133F"/>
    <w:rsid w:val="007564C8"/>
    <w:rsid w:val="007605CD"/>
    <w:rsid w:val="00761DC4"/>
    <w:rsid w:val="007622FF"/>
    <w:rsid w:val="00765606"/>
    <w:rsid w:val="00767480"/>
    <w:rsid w:val="00771038"/>
    <w:rsid w:val="0077172D"/>
    <w:rsid w:val="00771BE6"/>
    <w:rsid w:val="00771CA0"/>
    <w:rsid w:val="00773DED"/>
    <w:rsid w:val="00775BEF"/>
    <w:rsid w:val="00776001"/>
    <w:rsid w:val="00777183"/>
    <w:rsid w:val="00784657"/>
    <w:rsid w:val="0078479A"/>
    <w:rsid w:val="00784F43"/>
    <w:rsid w:val="0079287C"/>
    <w:rsid w:val="00796361"/>
    <w:rsid w:val="00796720"/>
    <w:rsid w:val="00797DF4"/>
    <w:rsid w:val="007A445B"/>
    <w:rsid w:val="007B2482"/>
    <w:rsid w:val="007B4DA5"/>
    <w:rsid w:val="007B715A"/>
    <w:rsid w:val="007B7A10"/>
    <w:rsid w:val="007C4686"/>
    <w:rsid w:val="007C58DB"/>
    <w:rsid w:val="007C63E7"/>
    <w:rsid w:val="007C6400"/>
    <w:rsid w:val="007C7D87"/>
    <w:rsid w:val="007D3379"/>
    <w:rsid w:val="007D4C31"/>
    <w:rsid w:val="007D5D1D"/>
    <w:rsid w:val="007D5F86"/>
    <w:rsid w:val="007D6043"/>
    <w:rsid w:val="007D6322"/>
    <w:rsid w:val="007D7822"/>
    <w:rsid w:val="007E23A9"/>
    <w:rsid w:val="007E4C2D"/>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22F4"/>
    <w:rsid w:val="008231D4"/>
    <w:rsid w:val="00824456"/>
    <w:rsid w:val="00824F50"/>
    <w:rsid w:val="00830867"/>
    <w:rsid w:val="00831982"/>
    <w:rsid w:val="00832268"/>
    <w:rsid w:val="00832A5C"/>
    <w:rsid w:val="00833288"/>
    <w:rsid w:val="008334B3"/>
    <w:rsid w:val="00833A5C"/>
    <w:rsid w:val="00833EF0"/>
    <w:rsid w:val="008344C1"/>
    <w:rsid w:val="008361D1"/>
    <w:rsid w:val="00837564"/>
    <w:rsid w:val="0083759E"/>
    <w:rsid w:val="0084053C"/>
    <w:rsid w:val="00841EE8"/>
    <w:rsid w:val="00843834"/>
    <w:rsid w:val="00845889"/>
    <w:rsid w:val="0085003A"/>
    <w:rsid w:val="00850E34"/>
    <w:rsid w:val="00854672"/>
    <w:rsid w:val="0085482C"/>
    <w:rsid w:val="00856DA5"/>
    <w:rsid w:val="00857B00"/>
    <w:rsid w:val="008674DB"/>
    <w:rsid w:val="0087135C"/>
    <w:rsid w:val="0087253E"/>
    <w:rsid w:val="00872844"/>
    <w:rsid w:val="00873792"/>
    <w:rsid w:val="0087573A"/>
    <w:rsid w:val="008761F9"/>
    <w:rsid w:val="00876B7F"/>
    <w:rsid w:val="00884072"/>
    <w:rsid w:val="00884091"/>
    <w:rsid w:val="00891E93"/>
    <w:rsid w:val="008925DD"/>
    <w:rsid w:val="00896D0E"/>
    <w:rsid w:val="008A1069"/>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2B6F"/>
    <w:rsid w:val="008D3455"/>
    <w:rsid w:val="008D366C"/>
    <w:rsid w:val="008D40B0"/>
    <w:rsid w:val="008D42F6"/>
    <w:rsid w:val="008D4E76"/>
    <w:rsid w:val="008E009B"/>
    <w:rsid w:val="008E0C71"/>
    <w:rsid w:val="008E129F"/>
    <w:rsid w:val="008E1DCE"/>
    <w:rsid w:val="008E4170"/>
    <w:rsid w:val="008E4891"/>
    <w:rsid w:val="008E5375"/>
    <w:rsid w:val="008E6F6F"/>
    <w:rsid w:val="008F20C4"/>
    <w:rsid w:val="008F3B4C"/>
    <w:rsid w:val="008F57BF"/>
    <w:rsid w:val="009007F6"/>
    <w:rsid w:val="00904D43"/>
    <w:rsid w:val="00905BEE"/>
    <w:rsid w:val="0091593E"/>
    <w:rsid w:val="00916136"/>
    <w:rsid w:val="0091792F"/>
    <w:rsid w:val="00921CC9"/>
    <w:rsid w:val="0092261E"/>
    <w:rsid w:val="0092616E"/>
    <w:rsid w:val="00926A62"/>
    <w:rsid w:val="00931606"/>
    <w:rsid w:val="00932FEA"/>
    <w:rsid w:val="009335BA"/>
    <w:rsid w:val="00934B83"/>
    <w:rsid w:val="00934D5A"/>
    <w:rsid w:val="009357AF"/>
    <w:rsid w:val="009362B4"/>
    <w:rsid w:val="009366BF"/>
    <w:rsid w:val="009413C0"/>
    <w:rsid w:val="009434CC"/>
    <w:rsid w:val="0094455B"/>
    <w:rsid w:val="00944C86"/>
    <w:rsid w:val="009450C9"/>
    <w:rsid w:val="00945820"/>
    <w:rsid w:val="00947B91"/>
    <w:rsid w:val="009500F8"/>
    <w:rsid w:val="0095240D"/>
    <w:rsid w:val="009539E5"/>
    <w:rsid w:val="00955413"/>
    <w:rsid w:val="00956663"/>
    <w:rsid w:val="0096001E"/>
    <w:rsid w:val="00961F23"/>
    <w:rsid w:val="0096258C"/>
    <w:rsid w:val="00963E0C"/>
    <w:rsid w:val="00965AA9"/>
    <w:rsid w:val="00971C1F"/>
    <w:rsid w:val="00973288"/>
    <w:rsid w:val="00975BBA"/>
    <w:rsid w:val="00980612"/>
    <w:rsid w:val="00980F2B"/>
    <w:rsid w:val="00981CB5"/>
    <w:rsid w:val="0098272F"/>
    <w:rsid w:val="009837CD"/>
    <w:rsid w:val="00984370"/>
    <w:rsid w:val="009859C2"/>
    <w:rsid w:val="00985B59"/>
    <w:rsid w:val="00990225"/>
    <w:rsid w:val="00991812"/>
    <w:rsid w:val="00991902"/>
    <w:rsid w:val="009939E3"/>
    <w:rsid w:val="009944A3"/>
    <w:rsid w:val="00994B8B"/>
    <w:rsid w:val="0099620C"/>
    <w:rsid w:val="009A18B9"/>
    <w:rsid w:val="009A59C9"/>
    <w:rsid w:val="009A70DB"/>
    <w:rsid w:val="009B2E3E"/>
    <w:rsid w:val="009C5347"/>
    <w:rsid w:val="009C6993"/>
    <w:rsid w:val="009D33DF"/>
    <w:rsid w:val="009D7687"/>
    <w:rsid w:val="009D76BE"/>
    <w:rsid w:val="009E1790"/>
    <w:rsid w:val="009E55B0"/>
    <w:rsid w:val="009E7290"/>
    <w:rsid w:val="009E77C8"/>
    <w:rsid w:val="009E7AF5"/>
    <w:rsid w:val="009F572B"/>
    <w:rsid w:val="00A010B5"/>
    <w:rsid w:val="00A014E2"/>
    <w:rsid w:val="00A0463F"/>
    <w:rsid w:val="00A06F9E"/>
    <w:rsid w:val="00A10F72"/>
    <w:rsid w:val="00A11828"/>
    <w:rsid w:val="00A1479D"/>
    <w:rsid w:val="00A1615D"/>
    <w:rsid w:val="00A168D0"/>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482"/>
    <w:rsid w:val="00A42566"/>
    <w:rsid w:val="00A44094"/>
    <w:rsid w:val="00A45B13"/>
    <w:rsid w:val="00A475F2"/>
    <w:rsid w:val="00A51641"/>
    <w:rsid w:val="00A52CF5"/>
    <w:rsid w:val="00A56A64"/>
    <w:rsid w:val="00A56ED7"/>
    <w:rsid w:val="00A5718B"/>
    <w:rsid w:val="00A6063D"/>
    <w:rsid w:val="00A611F1"/>
    <w:rsid w:val="00A63464"/>
    <w:rsid w:val="00A64670"/>
    <w:rsid w:val="00A65C78"/>
    <w:rsid w:val="00A667D2"/>
    <w:rsid w:val="00A670BA"/>
    <w:rsid w:val="00A679D8"/>
    <w:rsid w:val="00A73BF5"/>
    <w:rsid w:val="00A751AE"/>
    <w:rsid w:val="00A75FDB"/>
    <w:rsid w:val="00A76EE0"/>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C6C33"/>
    <w:rsid w:val="00AD2E6B"/>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13FA"/>
    <w:rsid w:val="00B42DB8"/>
    <w:rsid w:val="00B43598"/>
    <w:rsid w:val="00B4579C"/>
    <w:rsid w:val="00B45867"/>
    <w:rsid w:val="00B47D48"/>
    <w:rsid w:val="00B5709D"/>
    <w:rsid w:val="00B64609"/>
    <w:rsid w:val="00B66980"/>
    <w:rsid w:val="00B705C6"/>
    <w:rsid w:val="00B71CA5"/>
    <w:rsid w:val="00B71EF9"/>
    <w:rsid w:val="00B7337A"/>
    <w:rsid w:val="00B746B8"/>
    <w:rsid w:val="00B7594C"/>
    <w:rsid w:val="00B75C43"/>
    <w:rsid w:val="00B75EF9"/>
    <w:rsid w:val="00B77895"/>
    <w:rsid w:val="00B83100"/>
    <w:rsid w:val="00B84D67"/>
    <w:rsid w:val="00B85B1E"/>
    <w:rsid w:val="00B91453"/>
    <w:rsid w:val="00B915E3"/>
    <w:rsid w:val="00B91A50"/>
    <w:rsid w:val="00B92CF0"/>
    <w:rsid w:val="00B95A2D"/>
    <w:rsid w:val="00B95B89"/>
    <w:rsid w:val="00BA2CF6"/>
    <w:rsid w:val="00BA5D22"/>
    <w:rsid w:val="00BA6B48"/>
    <w:rsid w:val="00BB12B3"/>
    <w:rsid w:val="00BB205E"/>
    <w:rsid w:val="00BB3167"/>
    <w:rsid w:val="00BB3BE0"/>
    <w:rsid w:val="00BB3FB8"/>
    <w:rsid w:val="00BB4DEE"/>
    <w:rsid w:val="00BB55C5"/>
    <w:rsid w:val="00BB624F"/>
    <w:rsid w:val="00BB6996"/>
    <w:rsid w:val="00BB749D"/>
    <w:rsid w:val="00BC0921"/>
    <w:rsid w:val="00BC6128"/>
    <w:rsid w:val="00BD132F"/>
    <w:rsid w:val="00BD29D9"/>
    <w:rsid w:val="00BD5EFA"/>
    <w:rsid w:val="00BD66A5"/>
    <w:rsid w:val="00BD7975"/>
    <w:rsid w:val="00BE30DC"/>
    <w:rsid w:val="00BE4D7D"/>
    <w:rsid w:val="00BE4FF3"/>
    <w:rsid w:val="00BE5FDC"/>
    <w:rsid w:val="00BE77C0"/>
    <w:rsid w:val="00BF065C"/>
    <w:rsid w:val="00BF1449"/>
    <w:rsid w:val="00BF39BA"/>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378FD"/>
    <w:rsid w:val="00C40BD9"/>
    <w:rsid w:val="00C41D6D"/>
    <w:rsid w:val="00C42458"/>
    <w:rsid w:val="00C43A76"/>
    <w:rsid w:val="00C45A1F"/>
    <w:rsid w:val="00C45ECE"/>
    <w:rsid w:val="00C63992"/>
    <w:rsid w:val="00C63FE8"/>
    <w:rsid w:val="00C648CF"/>
    <w:rsid w:val="00C66F75"/>
    <w:rsid w:val="00C704AB"/>
    <w:rsid w:val="00C821F6"/>
    <w:rsid w:val="00C837DE"/>
    <w:rsid w:val="00C838D2"/>
    <w:rsid w:val="00C83D70"/>
    <w:rsid w:val="00C8773A"/>
    <w:rsid w:val="00C93181"/>
    <w:rsid w:val="00C96018"/>
    <w:rsid w:val="00C96FD2"/>
    <w:rsid w:val="00C97345"/>
    <w:rsid w:val="00CA34C8"/>
    <w:rsid w:val="00CA62AE"/>
    <w:rsid w:val="00CB6EFB"/>
    <w:rsid w:val="00CC0660"/>
    <w:rsid w:val="00CC3CD0"/>
    <w:rsid w:val="00CC5B73"/>
    <w:rsid w:val="00CC7D4D"/>
    <w:rsid w:val="00CD04A2"/>
    <w:rsid w:val="00CD1D5F"/>
    <w:rsid w:val="00CD21E1"/>
    <w:rsid w:val="00CD2C91"/>
    <w:rsid w:val="00CD4496"/>
    <w:rsid w:val="00CD489F"/>
    <w:rsid w:val="00CD69E7"/>
    <w:rsid w:val="00CD6C27"/>
    <w:rsid w:val="00CE1739"/>
    <w:rsid w:val="00CE3656"/>
    <w:rsid w:val="00CE42FF"/>
    <w:rsid w:val="00CE56AD"/>
    <w:rsid w:val="00CE73A1"/>
    <w:rsid w:val="00CE7A2A"/>
    <w:rsid w:val="00CE7FB6"/>
    <w:rsid w:val="00CF322B"/>
    <w:rsid w:val="00CF5252"/>
    <w:rsid w:val="00CF5DFD"/>
    <w:rsid w:val="00CF6B15"/>
    <w:rsid w:val="00CF701C"/>
    <w:rsid w:val="00D00B1C"/>
    <w:rsid w:val="00D0574A"/>
    <w:rsid w:val="00D061E7"/>
    <w:rsid w:val="00D0687F"/>
    <w:rsid w:val="00D06969"/>
    <w:rsid w:val="00D07397"/>
    <w:rsid w:val="00D07546"/>
    <w:rsid w:val="00D07D14"/>
    <w:rsid w:val="00D1772C"/>
    <w:rsid w:val="00D20A37"/>
    <w:rsid w:val="00D21601"/>
    <w:rsid w:val="00D24926"/>
    <w:rsid w:val="00D24F3F"/>
    <w:rsid w:val="00D25C24"/>
    <w:rsid w:val="00D265F3"/>
    <w:rsid w:val="00D31E3D"/>
    <w:rsid w:val="00D32F30"/>
    <w:rsid w:val="00D3514F"/>
    <w:rsid w:val="00D36C31"/>
    <w:rsid w:val="00D37A41"/>
    <w:rsid w:val="00D37C9D"/>
    <w:rsid w:val="00D41096"/>
    <w:rsid w:val="00D460BE"/>
    <w:rsid w:val="00D51F44"/>
    <w:rsid w:val="00D5202A"/>
    <w:rsid w:val="00D53937"/>
    <w:rsid w:val="00D5712A"/>
    <w:rsid w:val="00D572F1"/>
    <w:rsid w:val="00D6396E"/>
    <w:rsid w:val="00D666E5"/>
    <w:rsid w:val="00D669CD"/>
    <w:rsid w:val="00D66DE1"/>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A759A"/>
    <w:rsid w:val="00DB3353"/>
    <w:rsid w:val="00DB461C"/>
    <w:rsid w:val="00DB78A2"/>
    <w:rsid w:val="00DB7AA4"/>
    <w:rsid w:val="00DC1A46"/>
    <w:rsid w:val="00DC2ED8"/>
    <w:rsid w:val="00DC3ACD"/>
    <w:rsid w:val="00DC4596"/>
    <w:rsid w:val="00DC459B"/>
    <w:rsid w:val="00DC4EEF"/>
    <w:rsid w:val="00DC7482"/>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100D"/>
    <w:rsid w:val="00E16165"/>
    <w:rsid w:val="00E17CF4"/>
    <w:rsid w:val="00E20591"/>
    <w:rsid w:val="00E21469"/>
    <w:rsid w:val="00E22456"/>
    <w:rsid w:val="00E23AE5"/>
    <w:rsid w:val="00E26F2D"/>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4801"/>
    <w:rsid w:val="00E57DA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5661"/>
    <w:rsid w:val="00EA591A"/>
    <w:rsid w:val="00EA7766"/>
    <w:rsid w:val="00EB0221"/>
    <w:rsid w:val="00EB0FB1"/>
    <w:rsid w:val="00EB3E52"/>
    <w:rsid w:val="00EB78B0"/>
    <w:rsid w:val="00EC0EF9"/>
    <w:rsid w:val="00EC27F4"/>
    <w:rsid w:val="00EC54F5"/>
    <w:rsid w:val="00EC74FC"/>
    <w:rsid w:val="00ED0FA3"/>
    <w:rsid w:val="00ED1A08"/>
    <w:rsid w:val="00ED454E"/>
    <w:rsid w:val="00ED6F05"/>
    <w:rsid w:val="00ED7132"/>
    <w:rsid w:val="00EE0E10"/>
    <w:rsid w:val="00EE182F"/>
    <w:rsid w:val="00EE1978"/>
    <w:rsid w:val="00EE2834"/>
    <w:rsid w:val="00EE3DC1"/>
    <w:rsid w:val="00EE6860"/>
    <w:rsid w:val="00EF0B25"/>
    <w:rsid w:val="00EF2E27"/>
    <w:rsid w:val="00EF45CC"/>
    <w:rsid w:val="00F0099C"/>
    <w:rsid w:val="00F01D32"/>
    <w:rsid w:val="00F02A3A"/>
    <w:rsid w:val="00F037B2"/>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635F"/>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3944"/>
    <w:rsid w:val="00FC635A"/>
    <w:rsid w:val="00FC7B4E"/>
    <w:rsid w:val="00FD0135"/>
    <w:rsid w:val="00FD1FF5"/>
    <w:rsid w:val="00FD3972"/>
    <w:rsid w:val="00FE0AB4"/>
    <w:rsid w:val="00FE1DE0"/>
    <w:rsid w:val="00FE5F47"/>
    <w:rsid w:val="00FF039E"/>
    <w:rsid w:val="00FF0BED"/>
    <w:rsid w:val="00FF1966"/>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6B64C"/>
  <w15:chartTrackingRefBased/>
  <w15:docId w15:val="{EA16F57E-820C-466F-B5EB-D0EDE2A2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01D32"/>
  </w:style>
  <w:style w:type="paragraph" w:styleId="Heading1">
    <w:name w:val="heading 1"/>
    <w:aliases w:val="BCFSA Subtitle"/>
    <w:basedOn w:val="Normal"/>
    <w:next w:val="BodyText"/>
    <w:link w:val="Heading1Char"/>
    <w:uiPriority w:val="9"/>
    <w:qFormat/>
    <w:rsid w:val="00F01D32"/>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F01D32"/>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F01D32"/>
  </w:style>
  <w:style w:type="character" w:styleId="Emphasis">
    <w:name w:val="Emphasis"/>
    <w:basedOn w:val="DefaultParagraphFont"/>
    <w:uiPriority w:val="20"/>
    <w:semiHidden/>
    <w:qFormat/>
    <w:rsid w:val="00F01D32"/>
    <w:rPr>
      <w:i/>
      <w:iCs/>
    </w:rPr>
  </w:style>
  <w:style w:type="paragraph" w:styleId="BodyText">
    <w:name w:val="Body Text"/>
    <w:aliases w:val="BCFSA Body Text"/>
    <w:basedOn w:val="Normal"/>
    <w:link w:val="BodyTextChar"/>
    <w:uiPriority w:val="3"/>
    <w:qFormat/>
    <w:rsid w:val="00F01D32"/>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F01D32"/>
  </w:style>
  <w:style w:type="character" w:customStyle="1" w:styleId="Heading1Char">
    <w:name w:val="Heading 1 Char"/>
    <w:aliases w:val="BCFSA Subtitle Char"/>
    <w:basedOn w:val="DefaultParagraphFont"/>
    <w:link w:val="Heading1"/>
    <w:uiPriority w:val="9"/>
    <w:rsid w:val="00F01D32"/>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F01D32"/>
    <w:pPr>
      <w:spacing w:before="180" w:after="180" w:line="288" w:lineRule="auto"/>
    </w:pPr>
    <w:rPr>
      <w:b/>
      <w:bCs/>
    </w:rPr>
  </w:style>
  <w:style w:type="character" w:customStyle="1" w:styleId="QuoteChar">
    <w:name w:val="Quote Char"/>
    <w:aliases w:val="BCFSA Quote Char"/>
    <w:basedOn w:val="DefaultParagraphFont"/>
    <w:link w:val="Quote"/>
    <w:uiPriority w:val="29"/>
    <w:rsid w:val="00F01D32"/>
    <w:rPr>
      <w:b/>
      <w:bCs/>
    </w:rPr>
  </w:style>
  <w:style w:type="paragraph" w:styleId="Title">
    <w:name w:val="Title"/>
    <w:aliases w:val="BCFSA Headline"/>
    <w:basedOn w:val="Normal"/>
    <w:next w:val="Subtitle"/>
    <w:link w:val="TitleChar"/>
    <w:qFormat/>
    <w:rsid w:val="00F01D32"/>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F01D32"/>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F01D3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F01D32"/>
    <w:rPr>
      <w:rFonts w:asciiTheme="majorHAnsi" w:eastAsiaTheme="minorEastAsia" w:hAnsiTheme="majorHAnsi"/>
      <w:b/>
      <w:bCs/>
      <w:sz w:val="30"/>
      <w:szCs w:val="30"/>
    </w:rPr>
  </w:style>
  <w:style w:type="character" w:styleId="BookTitle">
    <w:name w:val="Book Title"/>
    <w:basedOn w:val="DefaultParagraphFont"/>
    <w:uiPriority w:val="33"/>
    <w:semiHidden/>
    <w:qFormat/>
    <w:rsid w:val="00F01D32"/>
    <w:rPr>
      <w:b/>
      <w:bCs/>
      <w:i/>
      <w:iCs/>
      <w:spacing w:val="5"/>
    </w:rPr>
  </w:style>
  <w:style w:type="paragraph" w:styleId="Header">
    <w:name w:val="header"/>
    <w:aliases w:val="BCFSA Header"/>
    <w:basedOn w:val="Normal"/>
    <w:link w:val="HeaderChar"/>
    <w:uiPriority w:val="99"/>
    <w:unhideWhenUsed/>
    <w:rsid w:val="00F01D32"/>
    <w:pPr>
      <w:tabs>
        <w:tab w:val="center" w:pos="4680"/>
        <w:tab w:val="right" w:pos="9360"/>
      </w:tabs>
    </w:pPr>
  </w:style>
  <w:style w:type="character" w:customStyle="1" w:styleId="HeaderChar">
    <w:name w:val="Header Char"/>
    <w:aliases w:val="BCFSA Header Char"/>
    <w:basedOn w:val="DefaultParagraphFont"/>
    <w:link w:val="Header"/>
    <w:uiPriority w:val="99"/>
    <w:rsid w:val="00F01D32"/>
  </w:style>
  <w:style w:type="paragraph" w:styleId="Footer">
    <w:name w:val="footer"/>
    <w:aliases w:val="BCFSA Footer"/>
    <w:basedOn w:val="Normal"/>
    <w:link w:val="FooterChar"/>
    <w:uiPriority w:val="99"/>
    <w:unhideWhenUsed/>
    <w:rsid w:val="00F01D32"/>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F01D32"/>
    <w:rPr>
      <w:sz w:val="14"/>
    </w:rPr>
  </w:style>
  <w:style w:type="paragraph" w:styleId="NoSpacing">
    <w:name w:val="No Spacing"/>
    <w:uiPriority w:val="99"/>
    <w:qFormat/>
    <w:rsid w:val="00F01D32"/>
  </w:style>
  <w:style w:type="character" w:styleId="Hyperlink">
    <w:name w:val="Hyperlink"/>
    <w:basedOn w:val="DefaultParagraphFont"/>
    <w:uiPriority w:val="99"/>
    <w:rsid w:val="00F01D32"/>
    <w:rPr>
      <w:color w:val="auto"/>
      <w:u w:val="single"/>
    </w:rPr>
  </w:style>
  <w:style w:type="character" w:styleId="Strong">
    <w:name w:val="Strong"/>
    <w:basedOn w:val="DefaultParagraphFont"/>
    <w:uiPriority w:val="22"/>
    <w:qFormat/>
    <w:rsid w:val="00F01D32"/>
    <w:rPr>
      <w:b/>
      <w:bCs/>
    </w:rPr>
  </w:style>
  <w:style w:type="character" w:styleId="SubtleEmphasis">
    <w:name w:val="Subtle Emphasis"/>
    <w:basedOn w:val="DefaultParagraphFont"/>
    <w:uiPriority w:val="19"/>
    <w:semiHidden/>
    <w:qFormat/>
    <w:rsid w:val="00F01D32"/>
    <w:rPr>
      <w:i/>
      <w:iCs/>
      <w:color w:val="404040" w:themeColor="text1" w:themeTint="BF"/>
    </w:rPr>
  </w:style>
  <w:style w:type="character" w:styleId="IntenseEmphasis">
    <w:name w:val="Intense Emphasis"/>
    <w:basedOn w:val="DefaultParagraphFont"/>
    <w:uiPriority w:val="21"/>
    <w:semiHidden/>
    <w:qFormat/>
    <w:rsid w:val="00F01D32"/>
    <w:rPr>
      <w:i/>
      <w:iCs/>
      <w:color w:val="003A5D" w:themeColor="accent1"/>
    </w:rPr>
  </w:style>
  <w:style w:type="character" w:styleId="SubtleReference">
    <w:name w:val="Subtle Reference"/>
    <w:basedOn w:val="DefaultParagraphFont"/>
    <w:uiPriority w:val="31"/>
    <w:semiHidden/>
    <w:qFormat/>
    <w:rsid w:val="00F01D32"/>
    <w:rPr>
      <w:smallCaps/>
      <w:color w:val="5A5A5A" w:themeColor="text1" w:themeTint="A5"/>
    </w:rPr>
  </w:style>
  <w:style w:type="character" w:styleId="IntenseReference">
    <w:name w:val="Intense Reference"/>
    <w:basedOn w:val="DefaultParagraphFont"/>
    <w:uiPriority w:val="32"/>
    <w:semiHidden/>
    <w:qFormat/>
    <w:rsid w:val="00F01D32"/>
    <w:rPr>
      <w:b/>
      <w:bCs/>
      <w:smallCaps/>
      <w:color w:val="003A5D" w:themeColor="accent1"/>
      <w:spacing w:val="5"/>
    </w:rPr>
  </w:style>
  <w:style w:type="paragraph" w:styleId="IntenseQuote">
    <w:name w:val="Intense Quote"/>
    <w:basedOn w:val="Normal"/>
    <w:next w:val="Normal"/>
    <w:link w:val="IntenseQuoteChar"/>
    <w:uiPriority w:val="30"/>
    <w:semiHidden/>
    <w:qFormat/>
    <w:rsid w:val="00F01D32"/>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semiHidden/>
    <w:rsid w:val="00F01D32"/>
    <w:rPr>
      <w:i/>
      <w:iCs/>
      <w:color w:val="003A5D" w:themeColor="accent1"/>
    </w:rPr>
  </w:style>
  <w:style w:type="paragraph" w:customStyle="1" w:styleId="BCFSAStandfirst">
    <w:name w:val="BCFSA Standfirst"/>
    <w:basedOn w:val="Normal"/>
    <w:next w:val="BodyText"/>
    <w:uiPriority w:val="2"/>
    <w:rsid w:val="00F01D32"/>
    <w:pPr>
      <w:keepNext/>
      <w:spacing w:after="360"/>
    </w:pPr>
    <w:rPr>
      <w:sz w:val="30"/>
      <w:szCs w:val="30"/>
    </w:rPr>
  </w:style>
  <w:style w:type="numbering" w:customStyle="1" w:styleId="BCFSABullets">
    <w:name w:val="BCFSA Bullets"/>
    <w:uiPriority w:val="99"/>
    <w:rsid w:val="00F01D32"/>
    <w:pPr>
      <w:numPr>
        <w:numId w:val="1"/>
      </w:numPr>
    </w:pPr>
  </w:style>
  <w:style w:type="numbering" w:customStyle="1" w:styleId="BCFSANumbers">
    <w:name w:val="BCFSA Numbers"/>
    <w:uiPriority w:val="99"/>
    <w:rsid w:val="00F01D32"/>
    <w:pPr>
      <w:numPr>
        <w:numId w:val="6"/>
      </w:numPr>
    </w:pPr>
  </w:style>
  <w:style w:type="paragraph" w:styleId="ListBullet">
    <w:name w:val="List Bullet"/>
    <w:basedOn w:val="Normal"/>
    <w:uiPriority w:val="14"/>
    <w:unhideWhenUsed/>
    <w:rsid w:val="00F01D32"/>
    <w:pPr>
      <w:numPr>
        <w:numId w:val="14"/>
      </w:numPr>
      <w:spacing w:before="120" w:after="120" w:line="312" w:lineRule="auto"/>
    </w:pPr>
  </w:style>
  <w:style w:type="character" w:styleId="PlaceholderText">
    <w:name w:val="Placeholder Text"/>
    <w:basedOn w:val="DefaultParagraphFont"/>
    <w:uiPriority w:val="99"/>
    <w:semiHidden/>
    <w:rsid w:val="00F01D32"/>
    <w:rPr>
      <w:color w:val="808080"/>
    </w:rPr>
  </w:style>
  <w:style w:type="paragraph" w:styleId="ListNumber">
    <w:name w:val="List Number"/>
    <w:basedOn w:val="Normal"/>
    <w:uiPriority w:val="11"/>
    <w:unhideWhenUsed/>
    <w:rsid w:val="00F01D32"/>
    <w:pPr>
      <w:keepNext/>
      <w:numPr>
        <w:numId w:val="34"/>
      </w:numPr>
      <w:spacing w:before="120" w:after="120" w:line="312" w:lineRule="auto"/>
    </w:pPr>
    <w:rPr>
      <w:spacing w:val="4"/>
    </w:rPr>
  </w:style>
  <w:style w:type="character" w:styleId="FootnoteReference">
    <w:name w:val="footnote reference"/>
    <w:aliases w:val="BCFSA Footnote Reference"/>
    <w:basedOn w:val="DefaultParagraphFont"/>
    <w:uiPriority w:val="99"/>
    <w:rsid w:val="00F01D32"/>
    <w:rPr>
      <w:color w:val="auto"/>
      <w:vertAlign w:val="superscript"/>
    </w:rPr>
  </w:style>
  <w:style w:type="paragraph" w:styleId="FootnoteText">
    <w:name w:val="footnote text"/>
    <w:aliases w:val="BCFSA Footnote"/>
    <w:basedOn w:val="Normal"/>
    <w:link w:val="FootnoteTextChar"/>
    <w:uiPriority w:val="99"/>
    <w:rsid w:val="00F01D32"/>
    <w:rPr>
      <w:sz w:val="14"/>
      <w:szCs w:val="20"/>
    </w:rPr>
  </w:style>
  <w:style w:type="character" w:customStyle="1" w:styleId="FootnoteTextChar">
    <w:name w:val="Footnote Text Char"/>
    <w:aliases w:val="BCFSA Footnote Char"/>
    <w:basedOn w:val="DefaultParagraphFont"/>
    <w:link w:val="FootnoteText"/>
    <w:uiPriority w:val="99"/>
    <w:rsid w:val="00F01D32"/>
    <w:rPr>
      <w:sz w:val="14"/>
      <w:szCs w:val="20"/>
    </w:rPr>
  </w:style>
  <w:style w:type="paragraph" w:customStyle="1" w:styleId="BCFSASubtitlenoline">
    <w:name w:val="BCFSA Subtitle (no line)"/>
    <w:basedOn w:val="Heading1"/>
    <w:next w:val="BodyText"/>
    <w:uiPriority w:val="9"/>
    <w:qFormat/>
    <w:rsid w:val="00F01D32"/>
    <w:pPr>
      <w:pBdr>
        <w:top w:val="none" w:sz="0" w:space="0" w:color="auto"/>
      </w:pBdr>
      <w:spacing w:before="0"/>
    </w:pPr>
  </w:style>
  <w:style w:type="paragraph" w:customStyle="1" w:styleId="BCFSAStandfirstlineabove">
    <w:name w:val="BCFSA Standfirst (line above)"/>
    <w:basedOn w:val="BCFSAStandfirst"/>
    <w:uiPriority w:val="2"/>
    <w:rsid w:val="00F01D32"/>
    <w:pPr>
      <w:pBdr>
        <w:top w:val="single" w:sz="6" w:space="18" w:color="auto"/>
      </w:pBdr>
      <w:spacing w:before="360"/>
    </w:pPr>
  </w:style>
  <w:style w:type="numbering" w:customStyle="1" w:styleId="NoteBullet">
    <w:name w:val="Note Bullet"/>
    <w:uiPriority w:val="99"/>
    <w:rsid w:val="00F01D32"/>
    <w:pPr>
      <w:numPr>
        <w:numId w:val="22"/>
      </w:numPr>
    </w:pPr>
  </w:style>
  <w:style w:type="paragraph" w:styleId="ListNumber2">
    <w:name w:val="List Number 2"/>
    <w:basedOn w:val="Normal"/>
    <w:uiPriority w:val="11"/>
    <w:rsid w:val="00F01D32"/>
    <w:pPr>
      <w:numPr>
        <w:ilvl w:val="1"/>
        <w:numId w:val="34"/>
      </w:numPr>
      <w:spacing w:line="312" w:lineRule="auto"/>
      <w:contextualSpacing/>
    </w:pPr>
  </w:style>
  <w:style w:type="paragraph" w:styleId="ListContinue2">
    <w:name w:val="List Continue 2"/>
    <w:aliases w:val="BCFSA Note Continue"/>
    <w:basedOn w:val="Normal"/>
    <w:uiPriority w:val="14"/>
    <w:rsid w:val="00F01D32"/>
    <w:pPr>
      <w:spacing w:before="120" w:after="120" w:line="312" w:lineRule="auto"/>
      <w:ind w:left="720"/>
    </w:pPr>
    <w:rPr>
      <w:i/>
      <w:iCs/>
    </w:rPr>
  </w:style>
  <w:style w:type="paragraph" w:styleId="ListBullet2">
    <w:name w:val="List Bullet 2"/>
    <w:aliases w:val="BCFSA Note"/>
    <w:basedOn w:val="Normal"/>
    <w:uiPriority w:val="14"/>
    <w:rsid w:val="00F01D32"/>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F01D32"/>
    <w:pPr>
      <w:spacing w:before="120" w:after="120" w:line="312" w:lineRule="auto"/>
    </w:pPr>
  </w:style>
  <w:style w:type="character" w:customStyle="1" w:styleId="BodyText2Char">
    <w:name w:val="Body Text 2 Char"/>
    <w:aliases w:val="BCFSA Normal Char"/>
    <w:basedOn w:val="DefaultParagraphFont"/>
    <w:link w:val="BodyText2"/>
    <w:uiPriority w:val="99"/>
    <w:rsid w:val="00F01D32"/>
  </w:style>
  <w:style w:type="paragraph" w:styleId="List">
    <w:name w:val="List"/>
    <w:basedOn w:val="Normal"/>
    <w:uiPriority w:val="12"/>
    <w:rsid w:val="00F01D32"/>
    <w:pPr>
      <w:keepNext/>
      <w:numPr>
        <w:numId w:val="28"/>
      </w:numPr>
      <w:spacing w:before="120" w:after="120" w:line="312" w:lineRule="auto"/>
    </w:pPr>
    <w:rPr>
      <w:b/>
    </w:rPr>
  </w:style>
  <w:style w:type="paragraph" w:styleId="List2">
    <w:name w:val="List 2"/>
    <w:basedOn w:val="Normal"/>
    <w:uiPriority w:val="12"/>
    <w:rsid w:val="00F01D32"/>
    <w:pPr>
      <w:keepNext/>
      <w:numPr>
        <w:ilvl w:val="1"/>
        <w:numId w:val="28"/>
      </w:numPr>
      <w:spacing w:before="120" w:after="120" w:line="312" w:lineRule="auto"/>
    </w:pPr>
  </w:style>
  <w:style w:type="paragraph" w:styleId="List3">
    <w:name w:val="List 3"/>
    <w:basedOn w:val="Normal"/>
    <w:uiPriority w:val="12"/>
    <w:rsid w:val="00F01D32"/>
    <w:pPr>
      <w:numPr>
        <w:ilvl w:val="2"/>
        <w:numId w:val="28"/>
      </w:numPr>
      <w:spacing w:before="120" w:after="120" w:line="312" w:lineRule="auto"/>
    </w:pPr>
  </w:style>
  <w:style w:type="paragraph" w:styleId="List4">
    <w:name w:val="List 4"/>
    <w:basedOn w:val="Normal"/>
    <w:uiPriority w:val="12"/>
    <w:rsid w:val="00F01D32"/>
    <w:pPr>
      <w:numPr>
        <w:ilvl w:val="3"/>
        <w:numId w:val="28"/>
      </w:numPr>
      <w:spacing w:before="120" w:after="120" w:line="312" w:lineRule="auto"/>
      <w:contextualSpacing/>
    </w:pPr>
  </w:style>
  <w:style w:type="paragraph" w:customStyle="1" w:styleId="FooterNote">
    <w:name w:val="Footer Note"/>
    <w:uiPriority w:val="99"/>
    <w:rsid w:val="00F01D32"/>
    <w:pPr>
      <w:tabs>
        <w:tab w:val="right" w:pos="8550"/>
      </w:tabs>
      <w:spacing w:before="120" w:after="240"/>
      <w:ind w:left="90" w:right="104"/>
    </w:pPr>
    <w:rPr>
      <w:i/>
      <w:iCs/>
      <w:sz w:val="16"/>
      <w:szCs w:val="22"/>
    </w:rPr>
  </w:style>
  <w:style w:type="paragraph" w:styleId="ListNumber3">
    <w:name w:val="List Number 3"/>
    <w:basedOn w:val="Normal"/>
    <w:uiPriority w:val="11"/>
    <w:rsid w:val="00F01D32"/>
    <w:pPr>
      <w:numPr>
        <w:ilvl w:val="2"/>
        <w:numId w:val="34"/>
      </w:numPr>
      <w:spacing w:line="312" w:lineRule="auto"/>
      <w:contextualSpacing/>
    </w:pPr>
  </w:style>
  <w:style w:type="character" w:customStyle="1" w:styleId="normaltextrun">
    <w:name w:val="normaltextrun"/>
    <w:basedOn w:val="DefaultParagraphFont"/>
    <w:rsid w:val="00F4635F"/>
  </w:style>
  <w:style w:type="character" w:customStyle="1" w:styleId="eop">
    <w:name w:val="eop"/>
    <w:basedOn w:val="DefaultParagraphFont"/>
    <w:rsid w:val="006A0810"/>
  </w:style>
  <w:style w:type="paragraph" w:customStyle="1" w:styleId="paragraph">
    <w:name w:val="paragraph"/>
    <w:basedOn w:val="Normal"/>
    <w:rsid w:val="00261E0A"/>
    <w:pPr>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4843FE"/>
  </w:style>
  <w:style w:type="character" w:styleId="CommentReference">
    <w:name w:val="annotation reference"/>
    <w:basedOn w:val="DefaultParagraphFont"/>
    <w:uiPriority w:val="99"/>
    <w:semiHidden/>
    <w:unhideWhenUsed/>
    <w:rsid w:val="0071746A"/>
    <w:rPr>
      <w:sz w:val="16"/>
      <w:szCs w:val="16"/>
    </w:rPr>
  </w:style>
  <w:style w:type="paragraph" w:styleId="CommentText">
    <w:name w:val="annotation text"/>
    <w:basedOn w:val="Normal"/>
    <w:link w:val="CommentTextChar"/>
    <w:uiPriority w:val="99"/>
    <w:semiHidden/>
    <w:unhideWhenUsed/>
    <w:rsid w:val="0071746A"/>
    <w:rPr>
      <w:sz w:val="20"/>
      <w:szCs w:val="20"/>
    </w:rPr>
  </w:style>
  <w:style w:type="character" w:customStyle="1" w:styleId="CommentTextChar">
    <w:name w:val="Comment Text Char"/>
    <w:basedOn w:val="DefaultParagraphFont"/>
    <w:link w:val="CommentText"/>
    <w:uiPriority w:val="99"/>
    <w:semiHidden/>
    <w:rsid w:val="0071746A"/>
    <w:rPr>
      <w:sz w:val="20"/>
      <w:szCs w:val="20"/>
    </w:rPr>
  </w:style>
  <w:style w:type="paragraph" w:styleId="CommentSubject">
    <w:name w:val="annotation subject"/>
    <w:basedOn w:val="CommentText"/>
    <w:next w:val="CommentText"/>
    <w:link w:val="CommentSubjectChar"/>
    <w:uiPriority w:val="99"/>
    <w:semiHidden/>
    <w:unhideWhenUsed/>
    <w:rsid w:val="0071746A"/>
    <w:rPr>
      <w:b/>
      <w:bCs/>
    </w:rPr>
  </w:style>
  <w:style w:type="character" w:customStyle="1" w:styleId="CommentSubjectChar">
    <w:name w:val="Comment Subject Char"/>
    <w:basedOn w:val="CommentTextChar"/>
    <w:link w:val="CommentSubject"/>
    <w:uiPriority w:val="99"/>
    <w:semiHidden/>
    <w:rsid w:val="0071746A"/>
    <w:rPr>
      <w:b/>
      <w:bCs/>
      <w:sz w:val="20"/>
      <w:szCs w:val="20"/>
    </w:rPr>
  </w:style>
  <w:style w:type="character" w:styleId="UnresolvedMention">
    <w:name w:val="Unresolved Mention"/>
    <w:basedOn w:val="DefaultParagraphFont"/>
    <w:uiPriority w:val="99"/>
    <w:unhideWhenUsed/>
    <w:rsid w:val="00956663"/>
    <w:rPr>
      <w:color w:val="605E5C"/>
      <w:shd w:val="clear" w:color="auto" w:fill="E1DFDD"/>
    </w:rPr>
  </w:style>
  <w:style w:type="character" w:styleId="Mention">
    <w:name w:val="Mention"/>
    <w:basedOn w:val="DefaultParagraphFont"/>
    <w:uiPriority w:val="99"/>
    <w:unhideWhenUsed/>
    <w:rsid w:val="009566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48232">
      <w:bodyDiv w:val="1"/>
      <w:marLeft w:val="0"/>
      <w:marRight w:val="0"/>
      <w:marTop w:val="0"/>
      <w:marBottom w:val="0"/>
      <w:divBdr>
        <w:top w:val="none" w:sz="0" w:space="0" w:color="auto"/>
        <w:left w:val="none" w:sz="0" w:space="0" w:color="auto"/>
        <w:bottom w:val="none" w:sz="0" w:space="0" w:color="auto"/>
        <w:right w:val="none" w:sz="0" w:space="0" w:color="auto"/>
      </w:divBdr>
      <w:divsChild>
        <w:div w:id="111170331">
          <w:marLeft w:val="0"/>
          <w:marRight w:val="0"/>
          <w:marTop w:val="0"/>
          <w:marBottom w:val="0"/>
          <w:divBdr>
            <w:top w:val="none" w:sz="0" w:space="0" w:color="auto"/>
            <w:left w:val="none" w:sz="0" w:space="0" w:color="auto"/>
            <w:bottom w:val="none" w:sz="0" w:space="0" w:color="auto"/>
            <w:right w:val="none" w:sz="0" w:space="0" w:color="auto"/>
          </w:divBdr>
        </w:div>
        <w:div w:id="1270698518">
          <w:marLeft w:val="0"/>
          <w:marRight w:val="0"/>
          <w:marTop w:val="0"/>
          <w:marBottom w:val="0"/>
          <w:divBdr>
            <w:top w:val="none" w:sz="0" w:space="0" w:color="auto"/>
            <w:left w:val="none" w:sz="0" w:space="0" w:color="auto"/>
            <w:bottom w:val="none" w:sz="0" w:space="0" w:color="auto"/>
            <w:right w:val="none" w:sz="0" w:space="0" w:color="auto"/>
          </w:divBdr>
        </w:div>
      </w:divsChild>
    </w:div>
    <w:div w:id="1602493611">
      <w:bodyDiv w:val="1"/>
      <w:marLeft w:val="0"/>
      <w:marRight w:val="0"/>
      <w:marTop w:val="0"/>
      <w:marBottom w:val="0"/>
      <w:divBdr>
        <w:top w:val="none" w:sz="0" w:space="0" w:color="auto"/>
        <w:left w:val="none" w:sz="0" w:space="0" w:color="auto"/>
        <w:bottom w:val="none" w:sz="0" w:space="0" w:color="auto"/>
        <w:right w:val="none" w:sz="0" w:space="0" w:color="auto"/>
      </w:divBdr>
      <w:divsChild>
        <w:div w:id="590896352">
          <w:marLeft w:val="0"/>
          <w:marRight w:val="0"/>
          <w:marTop w:val="0"/>
          <w:marBottom w:val="0"/>
          <w:divBdr>
            <w:top w:val="none" w:sz="0" w:space="0" w:color="auto"/>
            <w:left w:val="none" w:sz="0" w:space="0" w:color="auto"/>
            <w:bottom w:val="none" w:sz="0" w:space="0" w:color="auto"/>
            <w:right w:val="none" w:sz="0" w:space="0" w:color="auto"/>
          </w:divBdr>
          <w:divsChild>
            <w:div w:id="1208569305">
              <w:marLeft w:val="0"/>
              <w:marRight w:val="0"/>
              <w:marTop w:val="0"/>
              <w:marBottom w:val="0"/>
              <w:divBdr>
                <w:top w:val="none" w:sz="0" w:space="0" w:color="auto"/>
                <w:left w:val="none" w:sz="0" w:space="0" w:color="auto"/>
                <w:bottom w:val="none" w:sz="0" w:space="0" w:color="auto"/>
                <w:right w:val="none" w:sz="0" w:space="0" w:color="auto"/>
              </w:divBdr>
            </w:div>
          </w:divsChild>
        </w:div>
        <w:div w:id="645357886">
          <w:marLeft w:val="0"/>
          <w:marRight w:val="0"/>
          <w:marTop w:val="0"/>
          <w:marBottom w:val="0"/>
          <w:divBdr>
            <w:top w:val="none" w:sz="0" w:space="0" w:color="auto"/>
            <w:left w:val="none" w:sz="0" w:space="0" w:color="auto"/>
            <w:bottom w:val="none" w:sz="0" w:space="0" w:color="auto"/>
            <w:right w:val="none" w:sz="0" w:space="0" w:color="auto"/>
          </w:divBdr>
          <w:divsChild>
            <w:div w:id="1414626954">
              <w:marLeft w:val="0"/>
              <w:marRight w:val="0"/>
              <w:marTop w:val="0"/>
              <w:marBottom w:val="0"/>
              <w:divBdr>
                <w:top w:val="none" w:sz="0" w:space="0" w:color="auto"/>
                <w:left w:val="none" w:sz="0" w:space="0" w:color="auto"/>
                <w:bottom w:val="none" w:sz="0" w:space="0" w:color="auto"/>
                <w:right w:val="none" w:sz="0" w:space="0" w:color="auto"/>
              </w:divBdr>
            </w:div>
          </w:divsChild>
        </w:div>
        <w:div w:id="722292327">
          <w:marLeft w:val="0"/>
          <w:marRight w:val="0"/>
          <w:marTop w:val="0"/>
          <w:marBottom w:val="0"/>
          <w:divBdr>
            <w:top w:val="none" w:sz="0" w:space="0" w:color="auto"/>
            <w:left w:val="none" w:sz="0" w:space="0" w:color="auto"/>
            <w:bottom w:val="none" w:sz="0" w:space="0" w:color="auto"/>
            <w:right w:val="none" w:sz="0" w:space="0" w:color="auto"/>
          </w:divBdr>
          <w:divsChild>
            <w:div w:id="262345093">
              <w:marLeft w:val="0"/>
              <w:marRight w:val="0"/>
              <w:marTop w:val="0"/>
              <w:marBottom w:val="0"/>
              <w:divBdr>
                <w:top w:val="none" w:sz="0" w:space="0" w:color="auto"/>
                <w:left w:val="none" w:sz="0" w:space="0" w:color="auto"/>
                <w:bottom w:val="none" w:sz="0" w:space="0" w:color="auto"/>
                <w:right w:val="none" w:sz="0" w:space="0" w:color="auto"/>
              </w:divBdr>
            </w:div>
          </w:divsChild>
        </w:div>
        <w:div w:id="860312944">
          <w:marLeft w:val="0"/>
          <w:marRight w:val="0"/>
          <w:marTop w:val="0"/>
          <w:marBottom w:val="0"/>
          <w:divBdr>
            <w:top w:val="none" w:sz="0" w:space="0" w:color="auto"/>
            <w:left w:val="none" w:sz="0" w:space="0" w:color="auto"/>
            <w:bottom w:val="none" w:sz="0" w:space="0" w:color="auto"/>
            <w:right w:val="none" w:sz="0" w:space="0" w:color="auto"/>
          </w:divBdr>
          <w:divsChild>
            <w:div w:id="1939631376">
              <w:marLeft w:val="0"/>
              <w:marRight w:val="0"/>
              <w:marTop w:val="0"/>
              <w:marBottom w:val="0"/>
              <w:divBdr>
                <w:top w:val="none" w:sz="0" w:space="0" w:color="auto"/>
                <w:left w:val="none" w:sz="0" w:space="0" w:color="auto"/>
                <w:bottom w:val="none" w:sz="0" w:space="0" w:color="auto"/>
                <w:right w:val="none" w:sz="0" w:space="0" w:color="auto"/>
              </w:divBdr>
            </w:div>
          </w:divsChild>
        </w:div>
        <w:div w:id="1287542704">
          <w:marLeft w:val="0"/>
          <w:marRight w:val="0"/>
          <w:marTop w:val="0"/>
          <w:marBottom w:val="0"/>
          <w:divBdr>
            <w:top w:val="none" w:sz="0" w:space="0" w:color="auto"/>
            <w:left w:val="none" w:sz="0" w:space="0" w:color="auto"/>
            <w:bottom w:val="none" w:sz="0" w:space="0" w:color="auto"/>
            <w:right w:val="none" w:sz="0" w:space="0" w:color="auto"/>
          </w:divBdr>
          <w:divsChild>
            <w:div w:id="585459534">
              <w:marLeft w:val="0"/>
              <w:marRight w:val="0"/>
              <w:marTop w:val="0"/>
              <w:marBottom w:val="0"/>
              <w:divBdr>
                <w:top w:val="none" w:sz="0" w:space="0" w:color="auto"/>
                <w:left w:val="none" w:sz="0" w:space="0" w:color="auto"/>
                <w:bottom w:val="none" w:sz="0" w:space="0" w:color="auto"/>
                <w:right w:val="none" w:sz="0" w:space="0" w:color="auto"/>
              </w:divBdr>
            </w:div>
          </w:divsChild>
        </w:div>
        <w:div w:id="1916628209">
          <w:marLeft w:val="0"/>
          <w:marRight w:val="0"/>
          <w:marTop w:val="0"/>
          <w:marBottom w:val="0"/>
          <w:divBdr>
            <w:top w:val="none" w:sz="0" w:space="0" w:color="auto"/>
            <w:left w:val="none" w:sz="0" w:space="0" w:color="auto"/>
            <w:bottom w:val="none" w:sz="0" w:space="0" w:color="auto"/>
            <w:right w:val="none" w:sz="0" w:space="0" w:color="auto"/>
          </w:divBdr>
          <w:divsChild>
            <w:div w:id="5690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DF06D19F1249459A4CA908DD130B65"/>
        <w:category>
          <w:name w:val="General"/>
          <w:gallery w:val="placeholder"/>
        </w:category>
        <w:types>
          <w:type w:val="bbPlcHdr"/>
        </w:types>
        <w:behaviors>
          <w:behavior w:val="content"/>
        </w:behaviors>
        <w:guid w:val="{9FDF9FE2-F7E9-4F6D-8894-FD005811611B}"/>
      </w:docPartPr>
      <w:docPartBody>
        <w:p w:rsidR="006B1A81" w:rsidRDefault="000C3D0C">
          <w:pPr>
            <w:pStyle w:val="1BDF06D19F1249459A4CA908DD130B65"/>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0C"/>
    <w:rsid w:val="000155F8"/>
    <w:rsid w:val="00022737"/>
    <w:rsid w:val="000C3D0C"/>
    <w:rsid w:val="000C3DFB"/>
    <w:rsid w:val="0035231B"/>
    <w:rsid w:val="00463CC7"/>
    <w:rsid w:val="00471BAD"/>
    <w:rsid w:val="004871F2"/>
    <w:rsid w:val="004F1364"/>
    <w:rsid w:val="006A30BD"/>
    <w:rsid w:val="006B1A81"/>
    <w:rsid w:val="007961EF"/>
    <w:rsid w:val="007C2FB2"/>
    <w:rsid w:val="00897475"/>
    <w:rsid w:val="0090374B"/>
    <w:rsid w:val="009631DF"/>
    <w:rsid w:val="009C1457"/>
    <w:rsid w:val="00AE261B"/>
    <w:rsid w:val="00B30092"/>
    <w:rsid w:val="00C6745B"/>
    <w:rsid w:val="00DE4747"/>
    <w:rsid w:val="00E9436E"/>
    <w:rsid w:val="00EB5121"/>
    <w:rsid w:val="00EC2BD0"/>
    <w:rsid w:val="00ED6758"/>
    <w:rsid w:val="00F64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DF06D19F1249459A4CA908DD130B65">
    <w:name w:val="1BDF06D19F1249459A4CA908DD130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Priority xmlns="fd40ba7d-2612-43ab-ad39-034460d73def" xsi:nil="true"/>
    <Blocker xmlns="fd40ba7d-2612-43ab-ad39-034460d73def" xsi:nil="true"/>
    <Notes0 xmlns="fd40ba7d-2612-43ab-ad39-034460d73def">Updates to the clause in the footer have been made 2021-06-10</Notes0>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D28C5B09-DAC8-4C31-921A-D895BDF1CFE4}">
  <ds:schemaRefs>
    <ds:schemaRef ds:uri="http://schemas.microsoft.com/sharepoint/v3/contenttype/forms"/>
  </ds:schemaRefs>
</ds:datastoreItem>
</file>

<file path=customXml/itemProps2.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3.xml><?xml version="1.0" encoding="utf-8"?>
<ds:datastoreItem xmlns:ds="http://schemas.openxmlformats.org/officeDocument/2006/customXml" ds:itemID="{EA159658-9BFC-4688-BA23-75E5420B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5E380-4A6F-41FE-AD96-4C2407362321}">
  <ds:schemaRefs>
    <ds:schemaRef ds:uri="http://schemas.microsoft.com/office/2006/metadata/properties"/>
    <ds:schemaRef ds:uri="http://schemas.microsoft.com/office/infopath/2007/PartnerControls"/>
    <ds:schemaRef ds:uri="fd40ba7d-2612-43ab-ad39-034460d73def"/>
  </ds:schemaRefs>
</ds:datastoreItem>
</file>

<file path=docProps/app.xml><?xml version="1.0" encoding="utf-8"?>
<Properties xmlns="http://schemas.openxmlformats.org/officeDocument/2006/extended-properties" xmlns:vt="http://schemas.openxmlformats.org/officeDocument/2006/docPropsVTypes">
  <Template>BCFSA Policy Statement Template.dotx</Template>
  <TotalTime>80</TotalTime>
  <Pages>1</Pages>
  <Words>1216</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Policy Statement  #5 - Early Marketing - Development Approval</vt:lpstr>
    </vt:vector>
  </TitlesOfParts>
  <Manager/>
  <Company>BC Financial Services Authority</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#5 - Early Marketing - Development Approval</dc:title>
  <dc:subject/>
  <dc:creator>Marcus A.T. Gill</dc:creator>
  <cp:keywords/>
  <dc:description>Policy Statement  #5 - Early Marketing - Development Approval</dc:description>
  <cp:lastModifiedBy>Gurneet Samra</cp:lastModifiedBy>
  <cp:revision>29</cp:revision>
  <dcterms:created xsi:type="dcterms:W3CDTF">2022-11-30T22:41:00Z</dcterms:created>
  <dcterms:modified xsi:type="dcterms:W3CDTF">2023-03-01T22:22:00Z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pproval Level">
    <vt:lpwstr>Ready</vt:lpwstr>
  </property>
  <property fmtid="{D5CDD505-2E9C-101B-9397-08002B2CF9AE}" pid="9" name="_ExtendedDescription">
    <vt:lpwstr/>
  </property>
</Properties>
</file>